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57FAE">
      <w:bookmarkStart w:id="115" w:name="_GoBack"/>
      <w:bookmarkEnd w:id="115"/>
      <w:bookmarkStart w:id="0" w:name="_Hlk66458103"/>
    </w:p>
    <w:p w14:paraId="1C032A28"/>
    <w:p w14:paraId="66B3A64E"/>
    <w:p w14:paraId="6AE67DE4"/>
    <w:p w14:paraId="0385FB78"/>
    <w:p w14:paraId="015E131D"/>
    <w:p w14:paraId="618639E5"/>
    <w:p w14:paraId="7B96C411"/>
    <w:p w14:paraId="63C81E0F"/>
    <w:p w14:paraId="12CEBDC6"/>
    <w:p w14:paraId="6E0CA706">
      <w:pPr>
        <w:ind w:firstLine="723"/>
        <w:jc w:val="center"/>
        <w:rPr>
          <w:b/>
          <w:sz w:val="36"/>
        </w:rPr>
      </w:pPr>
      <w:r>
        <w:rPr>
          <w:b/>
          <w:sz w:val="36"/>
        </w:rPr>
        <w:t>沈阳市</w:t>
      </w:r>
      <w:r>
        <w:rPr>
          <w:rFonts w:hint="eastAsia"/>
          <w:b/>
          <w:sz w:val="36"/>
        </w:rPr>
        <w:t>建筑节能与</w:t>
      </w:r>
      <w:r>
        <w:rPr>
          <w:b/>
          <w:sz w:val="36"/>
        </w:rPr>
        <w:t>绿色建筑</w:t>
      </w:r>
      <w:r>
        <w:rPr>
          <w:rFonts w:hint="eastAsia"/>
          <w:b/>
          <w:sz w:val="36"/>
        </w:rPr>
        <w:t>发展</w:t>
      </w:r>
    </w:p>
    <w:p w14:paraId="52A7F158">
      <w:pPr>
        <w:ind w:firstLine="723"/>
        <w:jc w:val="center"/>
        <w:rPr>
          <w:b/>
          <w:sz w:val="36"/>
        </w:rPr>
      </w:pPr>
      <w:r>
        <w:rPr>
          <w:b/>
          <w:sz w:val="36"/>
        </w:rPr>
        <w:t>“</w:t>
      </w:r>
      <w:r>
        <w:rPr>
          <w:rFonts w:hint="eastAsia"/>
          <w:b/>
          <w:sz w:val="36"/>
        </w:rPr>
        <w:t>十四五</w:t>
      </w:r>
      <w:r>
        <w:rPr>
          <w:b/>
          <w:sz w:val="36"/>
        </w:rPr>
        <w:t>”规划</w:t>
      </w:r>
      <w:r>
        <w:rPr>
          <w:rFonts w:hint="eastAsia"/>
          <w:b/>
          <w:sz w:val="36"/>
        </w:rPr>
        <w:t>编制研究</w:t>
      </w:r>
      <w:r>
        <w:rPr>
          <w:b/>
          <w:sz w:val="36"/>
        </w:rPr>
        <w:t>报告</w:t>
      </w:r>
    </w:p>
    <w:p w14:paraId="58C923D7"/>
    <w:p w14:paraId="1B669B79"/>
    <w:p w14:paraId="42F8692C"/>
    <w:p w14:paraId="3CC2D6C8"/>
    <w:p w14:paraId="2C3FB38F"/>
    <w:p w14:paraId="2EDE936C"/>
    <w:p w14:paraId="50A59CAB"/>
    <w:p w14:paraId="6F67613E"/>
    <w:p w14:paraId="138783AC"/>
    <w:p w14:paraId="05296E88"/>
    <w:p w14:paraId="4D789019"/>
    <w:p w14:paraId="322D110C"/>
    <w:p w14:paraId="5D5827F2"/>
    <w:p w14:paraId="649179FE"/>
    <w:p w14:paraId="3B8910D9">
      <w:pPr>
        <w:jc w:val="center"/>
      </w:pPr>
      <w:r>
        <w:t>中国建筑节能协会</w:t>
      </w:r>
    </w:p>
    <w:p w14:paraId="3DA65DF8">
      <w:pPr>
        <w:jc w:val="center"/>
      </w:pPr>
      <w:r>
        <w:t>2021年12月</w:t>
      </w:r>
    </w:p>
    <w:p w14:paraId="63EF16A0">
      <w:r>
        <w:br w:type="page"/>
      </w:r>
    </w:p>
    <w:p w14:paraId="3E422E19"/>
    <w:p w14:paraId="78B01860">
      <w:pPr>
        <w:ind w:firstLine="0" w:firstLineChars="0"/>
        <w:jc w:val="center"/>
        <w:rPr>
          <w:b/>
          <w:bCs/>
          <w:sz w:val="32"/>
          <w:szCs w:val="32"/>
        </w:rPr>
      </w:pPr>
      <w:r>
        <w:rPr>
          <w:rFonts w:hint="eastAsia"/>
          <w:b/>
          <w:bCs/>
          <w:sz w:val="32"/>
          <w:szCs w:val="32"/>
        </w:rPr>
        <w:t xml:space="preserve">前 </w:t>
      </w:r>
      <w:r>
        <w:rPr>
          <w:b/>
          <w:bCs/>
          <w:sz w:val="32"/>
          <w:szCs w:val="32"/>
        </w:rPr>
        <w:t xml:space="preserve"> </w:t>
      </w:r>
      <w:r>
        <w:rPr>
          <w:rFonts w:hint="eastAsia"/>
          <w:b/>
          <w:bCs/>
          <w:sz w:val="32"/>
          <w:szCs w:val="32"/>
        </w:rPr>
        <w:t>言</w:t>
      </w:r>
    </w:p>
    <w:p w14:paraId="0C8E598A">
      <w:pPr>
        <w:ind w:firstLine="0" w:firstLineChars="0"/>
      </w:pPr>
    </w:p>
    <w:p w14:paraId="7D20965C">
      <w:pPr>
        <w:snapToGrid w:val="0"/>
        <w:spacing w:before="120" w:line="360" w:lineRule="auto"/>
      </w:pPr>
      <w:r>
        <w:rPr>
          <w:rFonts w:hint="eastAsia"/>
        </w:rPr>
        <w:t>“十四五”是我国由全面建成小康社会向基本实现社会主义现代化迈进的关键时期，是开启社会主义现代化国家建设新征程的开局阶段。持续推动沈阳市建筑节能和绿色建筑发展，构建更加清洁、低碳、安全、高效的建筑用能体系，有利于提升能源资源效率，减少温室气体排放，是推进生态文明建设、践行高质量发展的客观要求；是提升城市功能品质与人居环境质量，满足人民群众对美好生活需要的必然选择；是推动城乡建设领域绿色、低碳、健康发展和实现建筑碳达峰、碳中和的重要途径。通过对“十三五”期间全国、辽宁省和沈阳市建筑节能与绿色建筑工作的梳理，评估当前沈阳市建筑节能与绿色建筑发展的具体阶段水平，在总结分析沈阳市建筑节能和绿色建筑发展成效的基础上，结合新时期面临的机遇和挑战，充分响应建设高质量城市的需要与人民群众对美好生活环境的追求，明确工作目标、重点任务及保障措施，指导全市“十四五”时期建筑节能和绿色建筑发展。</w:t>
      </w:r>
    </w:p>
    <w:p w14:paraId="50E7D757">
      <w:r>
        <w:br w:type="page"/>
      </w:r>
    </w:p>
    <w:sdt>
      <w:sdtPr>
        <w:rPr>
          <w:rFonts w:cs="Times New Roman" w:asciiTheme="minorHAnsi" w:hAnsiTheme="minorHAnsi" w:eastAsiaTheme="minorEastAsia"/>
          <w:color w:val="auto"/>
          <w:sz w:val="22"/>
          <w:szCs w:val="22"/>
          <w:lang w:val="zh-CN"/>
        </w:rPr>
        <w:id w:val="1707218563"/>
        <w:docPartObj>
          <w:docPartGallery w:val="Table of Contents"/>
          <w:docPartUnique/>
        </w:docPartObj>
      </w:sdtPr>
      <w:sdtEndPr>
        <w:rPr>
          <w:rFonts w:cs="Times New Roman" w:asciiTheme="minorHAnsi" w:hAnsiTheme="minorHAnsi" w:eastAsiaTheme="minorEastAsia"/>
          <w:color w:val="auto"/>
          <w:sz w:val="22"/>
          <w:szCs w:val="22"/>
          <w:lang w:val="zh-CN"/>
        </w:rPr>
      </w:sdtEndPr>
      <w:sdtContent>
        <w:p w14:paraId="0528308B">
          <w:pPr>
            <w:pStyle w:val="56"/>
            <w:numPr>
              <w:ilvl w:val="0"/>
              <w:numId w:val="0"/>
            </w:numPr>
            <w:jc w:val="center"/>
            <w:rPr>
              <w:rFonts w:ascii="仿宋" w:hAnsi="仿宋" w:eastAsia="仿宋"/>
              <w:sz w:val="36"/>
              <w:szCs w:val="36"/>
            </w:rPr>
          </w:pPr>
          <w:r>
            <w:rPr>
              <w:rFonts w:ascii="仿宋" w:hAnsi="仿宋" w:eastAsia="仿宋"/>
              <w:sz w:val="36"/>
              <w:szCs w:val="36"/>
              <w:lang w:val="zh-CN"/>
            </w:rPr>
            <w:t>目</w:t>
          </w:r>
          <w:r>
            <w:rPr>
              <w:rFonts w:hint="eastAsia" w:ascii="仿宋" w:hAnsi="仿宋" w:eastAsia="仿宋"/>
              <w:sz w:val="36"/>
              <w:szCs w:val="36"/>
              <w:lang w:val="zh-CN"/>
            </w:rPr>
            <w:t xml:space="preserve"> </w:t>
          </w:r>
          <w:r>
            <w:rPr>
              <w:rFonts w:ascii="仿宋" w:hAnsi="仿宋" w:eastAsia="仿宋"/>
              <w:sz w:val="36"/>
              <w:szCs w:val="36"/>
              <w:lang w:val="zh-CN"/>
            </w:rPr>
            <w:t>录</w:t>
          </w:r>
        </w:p>
        <w:p w14:paraId="41B2379C">
          <w:pPr>
            <w:pStyle w:val="16"/>
            <w:ind w:firstLine="482"/>
            <w:rPr>
              <w:rFonts w:ascii="仿宋" w:hAnsi="仿宋" w:eastAsia="仿宋"/>
              <w:sz w:val="24"/>
              <w:szCs w:val="24"/>
            </w:rPr>
          </w:pPr>
          <w:r>
            <w:rPr>
              <w:rFonts w:hint="eastAsia" w:ascii="仿宋" w:hAnsi="仿宋" w:eastAsia="仿宋"/>
              <w:b/>
              <w:bCs/>
              <w:sz w:val="24"/>
              <w:szCs w:val="24"/>
            </w:rPr>
            <w:t>第一章 总体要求</w:t>
          </w:r>
          <w:r>
            <w:rPr>
              <w:rFonts w:ascii="仿宋" w:hAnsi="仿宋" w:eastAsia="仿宋"/>
              <w:sz w:val="24"/>
              <w:szCs w:val="24"/>
            </w:rPr>
            <w:ptab w:relativeTo="margin" w:alignment="right" w:leader="dot"/>
          </w:r>
          <w:r>
            <w:rPr>
              <w:rFonts w:ascii="仿宋" w:hAnsi="仿宋" w:eastAsia="仿宋"/>
              <w:b/>
              <w:bCs/>
              <w:sz w:val="24"/>
              <w:szCs w:val="24"/>
              <w:lang w:val="zh-CN"/>
            </w:rPr>
            <w:t>1</w:t>
          </w:r>
        </w:p>
        <w:p w14:paraId="42A88373">
          <w:pPr>
            <w:pStyle w:val="17"/>
            <w:ind w:left="216" w:firstLine="720" w:firstLineChars="300"/>
            <w:rPr>
              <w:rFonts w:ascii="仿宋" w:hAnsi="仿宋" w:eastAsia="仿宋"/>
              <w:sz w:val="24"/>
              <w:szCs w:val="24"/>
              <w:lang w:val="zh-CN"/>
            </w:rPr>
          </w:pPr>
          <w:r>
            <w:rPr>
              <w:rFonts w:hint="eastAsia" w:ascii="仿宋" w:hAnsi="仿宋" w:eastAsia="仿宋"/>
              <w:sz w:val="24"/>
              <w:szCs w:val="24"/>
            </w:rPr>
            <w:t>一、研究背景</w:t>
          </w:r>
          <w:r>
            <w:rPr>
              <w:rFonts w:ascii="仿宋" w:hAnsi="仿宋" w:eastAsia="仿宋"/>
              <w:sz w:val="24"/>
              <w:szCs w:val="24"/>
            </w:rPr>
            <w:ptab w:relativeTo="margin" w:alignment="right" w:leader="dot"/>
          </w:r>
          <w:r>
            <w:rPr>
              <w:rFonts w:ascii="仿宋" w:hAnsi="仿宋" w:eastAsia="仿宋"/>
              <w:sz w:val="24"/>
              <w:szCs w:val="24"/>
              <w:lang w:val="zh-CN"/>
            </w:rPr>
            <w:t>1</w:t>
          </w:r>
        </w:p>
        <w:p w14:paraId="4D4200B8">
          <w:pPr>
            <w:pStyle w:val="17"/>
            <w:ind w:left="216" w:firstLine="720" w:firstLineChars="300"/>
            <w:rPr>
              <w:rFonts w:ascii="仿宋" w:hAnsi="仿宋" w:eastAsia="仿宋"/>
              <w:sz w:val="24"/>
              <w:szCs w:val="24"/>
            </w:rPr>
          </w:pPr>
          <w:r>
            <w:rPr>
              <w:rFonts w:hint="eastAsia" w:ascii="仿宋" w:hAnsi="仿宋" w:eastAsia="仿宋"/>
              <w:sz w:val="24"/>
              <w:szCs w:val="24"/>
            </w:rPr>
            <w:t>二、指导思想</w:t>
          </w:r>
          <w:r>
            <w:rPr>
              <w:rFonts w:ascii="仿宋" w:hAnsi="仿宋" w:eastAsia="仿宋"/>
              <w:sz w:val="24"/>
              <w:szCs w:val="24"/>
            </w:rPr>
            <w:ptab w:relativeTo="margin" w:alignment="right" w:leader="dot"/>
          </w:r>
          <w:r>
            <w:rPr>
              <w:rFonts w:ascii="仿宋" w:hAnsi="仿宋" w:eastAsia="仿宋"/>
              <w:sz w:val="24"/>
              <w:szCs w:val="24"/>
              <w:lang w:val="zh-CN"/>
            </w:rPr>
            <w:t>4</w:t>
          </w:r>
        </w:p>
        <w:p w14:paraId="68F41113">
          <w:pPr>
            <w:pStyle w:val="17"/>
            <w:ind w:left="216" w:firstLine="720" w:firstLineChars="300"/>
            <w:rPr>
              <w:rFonts w:ascii="仿宋" w:hAnsi="仿宋" w:eastAsia="仿宋"/>
              <w:sz w:val="24"/>
              <w:szCs w:val="24"/>
            </w:rPr>
          </w:pPr>
          <w:r>
            <w:rPr>
              <w:rFonts w:hint="eastAsia" w:ascii="仿宋" w:hAnsi="仿宋" w:eastAsia="仿宋"/>
              <w:sz w:val="24"/>
              <w:szCs w:val="24"/>
            </w:rPr>
            <w:t>三、基本原则</w:t>
          </w:r>
          <w:r>
            <w:rPr>
              <w:rFonts w:ascii="仿宋" w:hAnsi="仿宋" w:eastAsia="仿宋"/>
              <w:sz w:val="24"/>
              <w:szCs w:val="24"/>
            </w:rPr>
            <w:ptab w:relativeTo="margin" w:alignment="right" w:leader="dot"/>
          </w:r>
          <w:r>
            <w:rPr>
              <w:rFonts w:ascii="仿宋" w:hAnsi="仿宋" w:eastAsia="仿宋"/>
              <w:sz w:val="24"/>
              <w:szCs w:val="24"/>
              <w:lang w:val="zh-CN"/>
            </w:rPr>
            <w:t>5</w:t>
          </w:r>
        </w:p>
        <w:p w14:paraId="664760FA">
          <w:pPr>
            <w:pStyle w:val="17"/>
            <w:ind w:left="216" w:firstLine="720" w:firstLineChars="300"/>
            <w:rPr>
              <w:rFonts w:ascii="仿宋" w:hAnsi="仿宋" w:eastAsia="仿宋"/>
              <w:sz w:val="24"/>
              <w:szCs w:val="24"/>
            </w:rPr>
          </w:pPr>
          <w:r>
            <w:rPr>
              <w:rFonts w:hint="eastAsia" w:ascii="仿宋" w:hAnsi="仿宋" w:eastAsia="仿宋"/>
              <w:sz w:val="24"/>
              <w:szCs w:val="24"/>
            </w:rPr>
            <w:t>四、研究目标</w:t>
          </w:r>
          <w:r>
            <w:rPr>
              <w:rFonts w:ascii="仿宋" w:hAnsi="仿宋" w:eastAsia="仿宋"/>
              <w:sz w:val="24"/>
              <w:szCs w:val="24"/>
            </w:rPr>
            <w:ptab w:relativeTo="margin" w:alignment="right" w:leader="dot"/>
          </w:r>
          <w:r>
            <w:rPr>
              <w:rFonts w:ascii="仿宋" w:hAnsi="仿宋" w:eastAsia="仿宋"/>
              <w:sz w:val="24"/>
              <w:szCs w:val="24"/>
              <w:lang w:val="zh-CN"/>
            </w:rPr>
            <w:t>5</w:t>
          </w:r>
        </w:p>
        <w:p w14:paraId="14C9C398">
          <w:pPr>
            <w:pStyle w:val="16"/>
            <w:ind w:firstLine="482"/>
            <w:rPr>
              <w:rFonts w:ascii="仿宋" w:hAnsi="仿宋" w:eastAsia="仿宋"/>
              <w:sz w:val="24"/>
              <w:szCs w:val="24"/>
            </w:rPr>
          </w:pPr>
          <w:r>
            <w:rPr>
              <w:rFonts w:hint="eastAsia" w:ascii="仿宋" w:hAnsi="仿宋" w:eastAsia="仿宋"/>
              <w:b/>
              <w:bCs/>
              <w:sz w:val="24"/>
              <w:szCs w:val="24"/>
            </w:rPr>
            <w:t>第二章 研究思路</w:t>
          </w:r>
          <w:r>
            <w:rPr>
              <w:rFonts w:ascii="仿宋" w:hAnsi="仿宋" w:eastAsia="仿宋"/>
              <w:sz w:val="24"/>
              <w:szCs w:val="24"/>
            </w:rPr>
            <w:ptab w:relativeTo="margin" w:alignment="right" w:leader="dot"/>
          </w:r>
          <w:r>
            <w:rPr>
              <w:rFonts w:ascii="仿宋" w:hAnsi="仿宋" w:eastAsia="仿宋"/>
              <w:b/>
              <w:bCs/>
              <w:sz w:val="24"/>
              <w:szCs w:val="24"/>
              <w:lang w:val="zh-CN"/>
            </w:rPr>
            <w:t>7</w:t>
          </w:r>
        </w:p>
        <w:p w14:paraId="2DE0B5FB">
          <w:pPr>
            <w:pStyle w:val="17"/>
            <w:ind w:left="216" w:firstLine="720" w:firstLineChars="300"/>
            <w:rPr>
              <w:rFonts w:ascii="仿宋" w:hAnsi="仿宋" w:eastAsia="仿宋"/>
              <w:sz w:val="24"/>
              <w:szCs w:val="24"/>
              <w:lang w:val="zh-CN"/>
            </w:rPr>
          </w:pPr>
          <w:r>
            <w:rPr>
              <w:rFonts w:hint="eastAsia" w:ascii="仿宋" w:hAnsi="仿宋" w:eastAsia="仿宋"/>
              <w:sz w:val="24"/>
              <w:szCs w:val="24"/>
            </w:rPr>
            <w:t>一、</w:t>
          </w:r>
          <w:r>
            <w:rPr>
              <w:rFonts w:ascii="仿宋" w:hAnsi="仿宋" w:eastAsia="仿宋"/>
              <w:sz w:val="24"/>
              <w:szCs w:val="24"/>
            </w:rPr>
            <w:t>贯彻新时代新形势下新思想新目标新要求</w:t>
          </w:r>
          <w:r>
            <w:rPr>
              <w:rFonts w:ascii="仿宋" w:hAnsi="仿宋" w:eastAsia="仿宋"/>
              <w:sz w:val="24"/>
              <w:szCs w:val="24"/>
            </w:rPr>
            <w:ptab w:relativeTo="margin" w:alignment="right" w:leader="dot"/>
          </w:r>
          <w:r>
            <w:rPr>
              <w:rFonts w:ascii="仿宋" w:hAnsi="仿宋" w:eastAsia="仿宋"/>
              <w:sz w:val="24"/>
              <w:szCs w:val="24"/>
              <w:lang w:val="zh-CN"/>
            </w:rPr>
            <w:t>7</w:t>
          </w:r>
        </w:p>
        <w:p w14:paraId="47481295">
          <w:pPr>
            <w:pStyle w:val="17"/>
            <w:ind w:left="216" w:firstLine="720" w:firstLineChars="300"/>
            <w:rPr>
              <w:rFonts w:ascii="仿宋" w:hAnsi="仿宋" w:eastAsia="仿宋"/>
              <w:sz w:val="24"/>
              <w:szCs w:val="24"/>
            </w:rPr>
          </w:pPr>
          <w:r>
            <w:rPr>
              <w:rFonts w:hint="eastAsia" w:ascii="仿宋" w:hAnsi="仿宋" w:eastAsia="仿宋"/>
              <w:sz w:val="24"/>
              <w:szCs w:val="24"/>
            </w:rPr>
            <w:t>二、</w:t>
          </w:r>
          <w:r>
            <w:rPr>
              <w:rFonts w:ascii="仿宋" w:hAnsi="仿宋" w:eastAsia="仿宋"/>
              <w:sz w:val="24"/>
              <w:szCs w:val="24"/>
            </w:rPr>
            <w:t>注重行业规划与国家发展战略相衔接</w:t>
          </w:r>
          <w:r>
            <w:rPr>
              <w:rFonts w:ascii="仿宋" w:hAnsi="仿宋" w:eastAsia="仿宋"/>
              <w:sz w:val="24"/>
              <w:szCs w:val="24"/>
            </w:rPr>
            <w:ptab w:relativeTo="margin" w:alignment="right" w:leader="dot"/>
          </w:r>
          <w:r>
            <w:rPr>
              <w:rFonts w:ascii="仿宋" w:hAnsi="仿宋" w:eastAsia="仿宋"/>
              <w:sz w:val="24"/>
              <w:szCs w:val="24"/>
              <w:lang w:val="zh-CN"/>
            </w:rPr>
            <w:t>7</w:t>
          </w:r>
        </w:p>
        <w:p w14:paraId="004016F0">
          <w:pPr>
            <w:pStyle w:val="17"/>
            <w:ind w:left="216" w:firstLine="720" w:firstLineChars="300"/>
            <w:rPr>
              <w:rFonts w:ascii="仿宋" w:hAnsi="仿宋" w:eastAsia="仿宋"/>
              <w:sz w:val="24"/>
              <w:szCs w:val="24"/>
              <w:lang w:val="zh-CN"/>
            </w:rPr>
          </w:pPr>
          <w:r>
            <w:rPr>
              <w:rFonts w:hint="eastAsia" w:ascii="仿宋" w:hAnsi="仿宋" w:eastAsia="仿宋"/>
              <w:sz w:val="24"/>
              <w:szCs w:val="24"/>
            </w:rPr>
            <w:t>三、</w:t>
          </w:r>
          <w:r>
            <w:rPr>
              <w:rFonts w:ascii="仿宋" w:hAnsi="仿宋" w:eastAsia="仿宋"/>
              <w:sz w:val="24"/>
              <w:szCs w:val="24"/>
            </w:rPr>
            <w:t xml:space="preserve"> 确定建筑节能与绿色建筑规划基础条件</w:t>
          </w:r>
          <w:r>
            <w:rPr>
              <w:rFonts w:ascii="仿宋" w:hAnsi="仿宋" w:eastAsia="仿宋"/>
              <w:sz w:val="24"/>
              <w:szCs w:val="24"/>
            </w:rPr>
            <w:ptab w:relativeTo="margin" w:alignment="right" w:leader="dot"/>
          </w:r>
          <w:r>
            <w:rPr>
              <w:rFonts w:ascii="仿宋" w:hAnsi="仿宋" w:eastAsia="仿宋"/>
              <w:sz w:val="24"/>
              <w:szCs w:val="24"/>
              <w:lang w:val="zh-CN"/>
            </w:rPr>
            <w:t>9</w:t>
          </w:r>
        </w:p>
        <w:p w14:paraId="677C2121">
          <w:pPr>
            <w:pStyle w:val="17"/>
            <w:ind w:left="216" w:firstLine="720" w:firstLineChars="300"/>
            <w:rPr>
              <w:rFonts w:ascii="仿宋" w:hAnsi="仿宋" w:eastAsia="仿宋"/>
              <w:sz w:val="24"/>
              <w:szCs w:val="24"/>
            </w:rPr>
          </w:pPr>
          <w:r>
            <w:rPr>
              <w:rFonts w:hint="eastAsia" w:ascii="仿宋" w:hAnsi="仿宋" w:eastAsia="仿宋"/>
              <w:sz w:val="24"/>
              <w:szCs w:val="24"/>
            </w:rPr>
            <w:t>四、</w:t>
          </w:r>
          <w:r>
            <w:rPr>
              <w:rFonts w:ascii="仿宋" w:hAnsi="仿宋" w:eastAsia="仿宋"/>
              <w:sz w:val="24"/>
              <w:szCs w:val="24"/>
            </w:rPr>
            <w:t xml:space="preserve"> 把握建筑节能与绿色建筑最新发展脉络</w:t>
          </w:r>
          <w:r>
            <w:rPr>
              <w:rFonts w:ascii="仿宋" w:hAnsi="仿宋" w:eastAsia="仿宋"/>
              <w:sz w:val="24"/>
              <w:szCs w:val="24"/>
            </w:rPr>
            <w:ptab w:relativeTo="margin" w:alignment="right" w:leader="dot"/>
          </w:r>
          <w:r>
            <w:rPr>
              <w:rFonts w:ascii="仿宋" w:hAnsi="仿宋" w:eastAsia="仿宋"/>
              <w:sz w:val="24"/>
              <w:szCs w:val="24"/>
              <w:lang w:val="zh-CN"/>
            </w:rPr>
            <w:t>9</w:t>
          </w:r>
        </w:p>
        <w:p w14:paraId="154BD24C">
          <w:pPr>
            <w:pStyle w:val="17"/>
            <w:ind w:left="216" w:firstLine="720" w:firstLineChars="300"/>
            <w:rPr>
              <w:rFonts w:ascii="仿宋" w:hAnsi="仿宋" w:eastAsia="仿宋"/>
              <w:sz w:val="24"/>
              <w:szCs w:val="24"/>
            </w:rPr>
          </w:pPr>
          <w:r>
            <w:rPr>
              <w:rFonts w:hint="eastAsia" w:ascii="仿宋" w:hAnsi="仿宋" w:eastAsia="仿宋"/>
              <w:sz w:val="24"/>
              <w:szCs w:val="24"/>
            </w:rPr>
            <w:t>五、</w:t>
          </w:r>
          <w:r>
            <w:rPr>
              <w:rFonts w:ascii="仿宋" w:hAnsi="仿宋" w:eastAsia="仿宋"/>
              <w:sz w:val="24"/>
              <w:szCs w:val="24"/>
            </w:rPr>
            <w:t xml:space="preserve"> 打造建筑节能与绿色建筑规划研究范式</w:t>
          </w:r>
          <w:r>
            <w:rPr>
              <w:rFonts w:ascii="仿宋" w:hAnsi="仿宋" w:eastAsia="仿宋"/>
              <w:sz w:val="24"/>
              <w:szCs w:val="24"/>
            </w:rPr>
            <w:ptab w:relativeTo="margin" w:alignment="right" w:leader="dot"/>
          </w:r>
          <w:r>
            <w:rPr>
              <w:rFonts w:ascii="仿宋" w:hAnsi="仿宋" w:eastAsia="仿宋"/>
              <w:sz w:val="24"/>
              <w:szCs w:val="24"/>
              <w:lang w:val="zh-CN"/>
            </w:rPr>
            <w:t>10</w:t>
          </w:r>
        </w:p>
        <w:p w14:paraId="580CA2EC">
          <w:pPr>
            <w:pStyle w:val="16"/>
            <w:ind w:firstLine="482"/>
            <w:rPr>
              <w:rFonts w:ascii="仿宋" w:hAnsi="仿宋" w:eastAsia="仿宋"/>
              <w:sz w:val="24"/>
              <w:szCs w:val="24"/>
            </w:rPr>
          </w:pPr>
          <w:r>
            <w:rPr>
              <w:rFonts w:hint="eastAsia" w:ascii="仿宋" w:hAnsi="仿宋" w:eastAsia="仿宋"/>
              <w:b/>
              <w:bCs/>
              <w:sz w:val="24"/>
              <w:szCs w:val="24"/>
            </w:rPr>
            <w:t>第三章</w:t>
          </w:r>
          <w:r>
            <w:rPr>
              <w:rFonts w:ascii="仿宋" w:hAnsi="仿宋" w:eastAsia="仿宋"/>
              <w:b/>
              <w:bCs/>
              <w:sz w:val="24"/>
              <w:szCs w:val="24"/>
            </w:rPr>
            <w:t xml:space="preserve"> “十三五”时期建筑节能与绿色建筑工作评估</w:t>
          </w:r>
          <w:r>
            <w:rPr>
              <w:rFonts w:ascii="仿宋" w:hAnsi="仿宋" w:eastAsia="仿宋"/>
              <w:sz w:val="24"/>
              <w:szCs w:val="24"/>
            </w:rPr>
            <w:ptab w:relativeTo="margin" w:alignment="right" w:leader="dot"/>
          </w:r>
          <w:r>
            <w:rPr>
              <w:rFonts w:ascii="仿宋" w:hAnsi="仿宋" w:eastAsia="仿宋"/>
              <w:b/>
              <w:bCs/>
              <w:sz w:val="24"/>
              <w:szCs w:val="24"/>
              <w:lang w:val="zh-CN"/>
            </w:rPr>
            <w:t>11</w:t>
          </w:r>
        </w:p>
        <w:p w14:paraId="4C4A4AF9">
          <w:pPr>
            <w:pStyle w:val="17"/>
            <w:ind w:left="216" w:firstLine="720" w:firstLineChars="300"/>
            <w:rPr>
              <w:rFonts w:ascii="仿宋" w:hAnsi="仿宋" w:eastAsia="仿宋"/>
              <w:sz w:val="24"/>
              <w:szCs w:val="24"/>
              <w:lang w:val="zh-CN"/>
            </w:rPr>
          </w:pPr>
          <w:r>
            <w:rPr>
              <w:rFonts w:hint="eastAsia" w:ascii="仿宋" w:hAnsi="仿宋" w:eastAsia="仿宋"/>
              <w:sz w:val="24"/>
              <w:szCs w:val="24"/>
            </w:rPr>
            <w:t>一、</w:t>
          </w:r>
          <w:r>
            <w:rPr>
              <w:rFonts w:ascii="仿宋" w:hAnsi="仿宋" w:eastAsia="仿宋"/>
              <w:sz w:val="24"/>
              <w:szCs w:val="24"/>
            </w:rPr>
            <w:t>全国“十三五”时期建筑节能与绿色建筑发展</w:t>
          </w:r>
          <w:r>
            <w:rPr>
              <w:rFonts w:ascii="仿宋" w:hAnsi="仿宋" w:eastAsia="仿宋"/>
              <w:sz w:val="24"/>
              <w:szCs w:val="24"/>
            </w:rPr>
            <w:ptab w:relativeTo="margin" w:alignment="right" w:leader="dot"/>
          </w:r>
          <w:r>
            <w:rPr>
              <w:rFonts w:ascii="仿宋" w:hAnsi="仿宋" w:eastAsia="仿宋"/>
              <w:sz w:val="24"/>
              <w:szCs w:val="24"/>
              <w:lang w:val="zh-CN"/>
            </w:rPr>
            <w:t>11</w:t>
          </w:r>
        </w:p>
        <w:p w14:paraId="676AC0D0">
          <w:pPr>
            <w:pStyle w:val="17"/>
            <w:ind w:left="216" w:firstLine="720" w:firstLineChars="300"/>
            <w:rPr>
              <w:rFonts w:ascii="仿宋" w:hAnsi="仿宋" w:eastAsia="仿宋"/>
              <w:sz w:val="24"/>
              <w:szCs w:val="24"/>
            </w:rPr>
          </w:pPr>
          <w:r>
            <w:rPr>
              <w:rFonts w:hint="eastAsia" w:ascii="仿宋" w:hAnsi="仿宋" w:eastAsia="仿宋"/>
              <w:sz w:val="24"/>
              <w:szCs w:val="24"/>
            </w:rPr>
            <w:t>二、</w:t>
          </w:r>
          <w:r>
            <w:rPr>
              <w:rFonts w:ascii="仿宋" w:hAnsi="仿宋" w:eastAsia="仿宋"/>
              <w:sz w:val="24"/>
              <w:szCs w:val="24"/>
            </w:rPr>
            <w:t>辽宁省“十三五”时期建筑节能与绿色建筑工作情况</w:t>
          </w:r>
          <w:r>
            <w:rPr>
              <w:rFonts w:ascii="仿宋" w:hAnsi="仿宋" w:eastAsia="仿宋"/>
              <w:sz w:val="24"/>
              <w:szCs w:val="24"/>
            </w:rPr>
            <w:ptab w:relativeTo="margin" w:alignment="right" w:leader="dot"/>
          </w:r>
          <w:r>
            <w:rPr>
              <w:rFonts w:ascii="仿宋" w:hAnsi="仿宋" w:eastAsia="仿宋"/>
              <w:sz w:val="24"/>
              <w:szCs w:val="24"/>
              <w:lang w:val="zh-CN"/>
            </w:rPr>
            <w:t>18</w:t>
          </w:r>
        </w:p>
        <w:p w14:paraId="0E036D1F">
          <w:pPr>
            <w:pStyle w:val="17"/>
            <w:ind w:left="216" w:firstLine="720" w:firstLineChars="300"/>
            <w:rPr>
              <w:rFonts w:ascii="仿宋" w:hAnsi="仿宋" w:eastAsia="仿宋"/>
              <w:sz w:val="24"/>
              <w:szCs w:val="24"/>
              <w:lang w:val="zh-CN"/>
            </w:rPr>
          </w:pPr>
          <w:r>
            <w:rPr>
              <w:rFonts w:hint="eastAsia" w:ascii="仿宋" w:hAnsi="仿宋" w:eastAsia="仿宋"/>
              <w:sz w:val="24"/>
              <w:szCs w:val="24"/>
            </w:rPr>
            <w:t>三、</w:t>
          </w:r>
          <w:r>
            <w:rPr>
              <w:rFonts w:ascii="仿宋" w:hAnsi="仿宋" w:eastAsia="仿宋"/>
              <w:sz w:val="24"/>
              <w:szCs w:val="24"/>
            </w:rPr>
            <w:t>沈阳市“十三五”时期建筑节能与绿色建筑工作情况</w:t>
          </w:r>
          <w:r>
            <w:rPr>
              <w:rFonts w:ascii="仿宋" w:hAnsi="仿宋" w:eastAsia="仿宋"/>
              <w:sz w:val="24"/>
              <w:szCs w:val="24"/>
            </w:rPr>
            <w:ptab w:relativeTo="margin" w:alignment="right" w:leader="dot"/>
          </w:r>
          <w:r>
            <w:rPr>
              <w:rFonts w:ascii="仿宋" w:hAnsi="仿宋" w:eastAsia="仿宋"/>
              <w:sz w:val="24"/>
              <w:szCs w:val="24"/>
              <w:lang w:val="zh-CN"/>
            </w:rPr>
            <w:t>21</w:t>
          </w:r>
        </w:p>
        <w:p w14:paraId="304EE2D2">
          <w:pPr>
            <w:pStyle w:val="16"/>
            <w:ind w:firstLine="482"/>
            <w:rPr>
              <w:rFonts w:ascii="仿宋" w:hAnsi="仿宋" w:eastAsia="仿宋"/>
              <w:sz w:val="24"/>
              <w:szCs w:val="24"/>
            </w:rPr>
          </w:pPr>
          <w:r>
            <w:rPr>
              <w:rFonts w:hint="eastAsia" w:ascii="仿宋" w:hAnsi="仿宋" w:eastAsia="仿宋"/>
              <w:b/>
              <w:bCs/>
              <w:sz w:val="24"/>
              <w:szCs w:val="24"/>
            </w:rPr>
            <w:t>第四章 “十四五”时期建筑节能与绿色建筑发展目标设定</w:t>
          </w:r>
          <w:r>
            <w:rPr>
              <w:rFonts w:ascii="仿宋" w:hAnsi="仿宋" w:eastAsia="仿宋"/>
              <w:sz w:val="24"/>
              <w:szCs w:val="24"/>
            </w:rPr>
            <w:ptab w:relativeTo="margin" w:alignment="right" w:leader="dot"/>
          </w:r>
          <w:r>
            <w:rPr>
              <w:rFonts w:ascii="仿宋" w:hAnsi="仿宋" w:eastAsia="仿宋"/>
              <w:b/>
              <w:bCs/>
              <w:sz w:val="24"/>
              <w:szCs w:val="24"/>
              <w:lang w:val="zh-CN"/>
            </w:rPr>
            <w:t>45</w:t>
          </w:r>
        </w:p>
        <w:p w14:paraId="56AC43D8">
          <w:pPr>
            <w:pStyle w:val="17"/>
            <w:ind w:left="216" w:firstLine="720" w:firstLineChars="300"/>
            <w:rPr>
              <w:rFonts w:ascii="仿宋" w:hAnsi="仿宋" w:eastAsia="仿宋"/>
              <w:sz w:val="24"/>
              <w:szCs w:val="24"/>
              <w:lang w:val="zh-CN"/>
            </w:rPr>
          </w:pPr>
          <w:r>
            <w:rPr>
              <w:rFonts w:hint="eastAsia" w:ascii="仿宋" w:hAnsi="仿宋" w:eastAsia="仿宋"/>
              <w:sz w:val="24"/>
              <w:szCs w:val="24"/>
            </w:rPr>
            <w:t>一、</w:t>
          </w:r>
          <w:r>
            <w:rPr>
              <w:rFonts w:ascii="仿宋" w:hAnsi="仿宋" w:eastAsia="仿宋"/>
              <w:sz w:val="24"/>
              <w:szCs w:val="24"/>
            </w:rPr>
            <w:t>国家目标及政策导向</w:t>
          </w:r>
          <w:r>
            <w:rPr>
              <w:rFonts w:ascii="仿宋" w:hAnsi="仿宋" w:eastAsia="仿宋"/>
              <w:sz w:val="24"/>
              <w:szCs w:val="24"/>
            </w:rPr>
            <w:ptab w:relativeTo="margin" w:alignment="right" w:leader="dot"/>
          </w:r>
          <w:r>
            <w:rPr>
              <w:rFonts w:ascii="仿宋" w:hAnsi="仿宋" w:eastAsia="仿宋"/>
              <w:sz w:val="24"/>
              <w:szCs w:val="24"/>
              <w:lang w:val="zh-CN"/>
            </w:rPr>
            <w:t>45</w:t>
          </w:r>
        </w:p>
        <w:p w14:paraId="1A38C23B">
          <w:pPr>
            <w:pStyle w:val="17"/>
            <w:ind w:left="216" w:firstLine="720" w:firstLineChars="300"/>
            <w:rPr>
              <w:rFonts w:ascii="仿宋" w:hAnsi="仿宋" w:eastAsia="仿宋"/>
              <w:sz w:val="24"/>
              <w:szCs w:val="24"/>
            </w:rPr>
          </w:pPr>
          <w:r>
            <w:rPr>
              <w:rFonts w:hint="eastAsia" w:ascii="仿宋" w:hAnsi="仿宋" w:eastAsia="仿宋"/>
              <w:sz w:val="24"/>
              <w:szCs w:val="24"/>
            </w:rPr>
            <w:t>二、</w:t>
          </w:r>
          <w:r>
            <w:rPr>
              <w:rFonts w:ascii="仿宋" w:hAnsi="仿宋" w:eastAsia="仿宋"/>
              <w:sz w:val="24"/>
              <w:szCs w:val="24"/>
            </w:rPr>
            <w:t>辽宁省目标及政策导向</w:t>
          </w:r>
          <w:r>
            <w:rPr>
              <w:rFonts w:ascii="仿宋" w:hAnsi="仿宋" w:eastAsia="仿宋"/>
              <w:sz w:val="24"/>
              <w:szCs w:val="24"/>
            </w:rPr>
            <w:ptab w:relativeTo="margin" w:alignment="right" w:leader="dot"/>
          </w:r>
          <w:r>
            <w:rPr>
              <w:rFonts w:ascii="仿宋" w:hAnsi="仿宋" w:eastAsia="仿宋"/>
              <w:sz w:val="24"/>
              <w:szCs w:val="24"/>
              <w:lang w:val="zh-CN"/>
            </w:rPr>
            <w:t>46</w:t>
          </w:r>
        </w:p>
        <w:p w14:paraId="0ADBA223">
          <w:pPr>
            <w:pStyle w:val="17"/>
            <w:ind w:left="216" w:firstLine="720" w:firstLineChars="300"/>
            <w:rPr>
              <w:rFonts w:ascii="仿宋" w:hAnsi="仿宋" w:eastAsia="仿宋"/>
              <w:sz w:val="24"/>
              <w:szCs w:val="24"/>
              <w:lang w:val="zh-CN"/>
            </w:rPr>
          </w:pPr>
          <w:r>
            <w:rPr>
              <w:rFonts w:hint="eastAsia" w:ascii="仿宋" w:hAnsi="仿宋" w:eastAsia="仿宋"/>
              <w:sz w:val="24"/>
              <w:szCs w:val="24"/>
            </w:rPr>
            <w:t>三、</w:t>
          </w:r>
          <w:r>
            <w:rPr>
              <w:rFonts w:ascii="仿宋" w:hAnsi="仿宋" w:eastAsia="仿宋"/>
              <w:sz w:val="24"/>
              <w:szCs w:val="24"/>
            </w:rPr>
            <w:t>沈阳市目标及政策导向</w:t>
          </w:r>
          <w:r>
            <w:rPr>
              <w:rFonts w:ascii="仿宋" w:hAnsi="仿宋" w:eastAsia="仿宋"/>
              <w:sz w:val="24"/>
              <w:szCs w:val="24"/>
            </w:rPr>
            <w:ptab w:relativeTo="margin" w:alignment="right" w:leader="dot"/>
          </w:r>
          <w:r>
            <w:rPr>
              <w:rFonts w:ascii="仿宋" w:hAnsi="仿宋" w:eastAsia="仿宋"/>
              <w:sz w:val="24"/>
              <w:szCs w:val="24"/>
            </w:rPr>
            <w:t>4</w:t>
          </w:r>
          <w:r>
            <w:rPr>
              <w:rFonts w:ascii="仿宋" w:hAnsi="仿宋" w:eastAsia="仿宋"/>
              <w:sz w:val="24"/>
              <w:szCs w:val="24"/>
              <w:lang w:val="zh-CN"/>
            </w:rPr>
            <w:t>9</w:t>
          </w:r>
        </w:p>
        <w:p w14:paraId="5FE12CBC">
          <w:pPr>
            <w:pStyle w:val="17"/>
            <w:ind w:left="216" w:firstLine="720" w:firstLineChars="300"/>
            <w:rPr>
              <w:rFonts w:ascii="仿宋" w:hAnsi="仿宋" w:eastAsia="仿宋"/>
              <w:sz w:val="24"/>
              <w:szCs w:val="24"/>
            </w:rPr>
          </w:pPr>
          <w:r>
            <w:rPr>
              <w:rFonts w:hint="eastAsia" w:ascii="仿宋" w:hAnsi="仿宋" w:eastAsia="仿宋"/>
              <w:sz w:val="24"/>
              <w:szCs w:val="24"/>
            </w:rPr>
            <w:t>四、</w:t>
          </w:r>
          <w:r>
            <w:rPr>
              <w:rFonts w:ascii="仿宋" w:hAnsi="仿宋" w:eastAsia="仿宋"/>
              <w:sz w:val="24"/>
              <w:szCs w:val="24"/>
            </w:rPr>
            <w:t>沈阳市十四五发展目标设定</w:t>
          </w:r>
          <w:r>
            <w:rPr>
              <w:rFonts w:ascii="仿宋" w:hAnsi="仿宋" w:eastAsia="仿宋"/>
              <w:sz w:val="24"/>
              <w:szCs w:val="24"/>
            </w:rPr>
            <w:ptab w:relativeTo="margin" w:alignment="right" w:leader="dot"/>
          </w:r>
          <w:r>
            <w:rPr>
              <w:rFonts w:ascii="仿宋" w:hAnsi="仿宋" w:eastAsia="仿宋"/>
              <w:sz w:val="24"/>
              <w:szCs w:val="24"/>
            </w:rPr>
            <w:t>53</w:t>
          </w:r>
        </w:p>
        <w:p w14:paraId="146B2FF5">
          <w:pPr>
            <w:pStyle w:val="16"/>
            <w:ind w:firstLine="482"/>
            <w:rPr>
              <w:rFonts w:ascii="仿宋" w:hAnsi="仿宋" w:eastAsia="仿宋"/>
              <w:sz w:val="24"/>
              <w:szCs w:val="24"/>
            </w:rPr>
          </w:pPr>
          <w:r>
            <w:rPr>
              <w:rFonts w:hint="eastAsia" w:ascii="仿宋" w:hAnsi="仿宋" w:eastAsia="仿宋"/>
              <w:b/>
              <w:bCs/>
              <w:sz w:val="24"/>
              <w:szCs w:val="24"/>
            </w:rPr>
            <w:t>第五章 重点任务</w:t>
          </w:r>
          <w:r>
            <w:rPr>
              <w:rFonts w:ascii="仿宋" w:hAnsi="仿宋" w:eastAsia="仿宋"/>
              <w:sz w:val="24"/>
              <w:szCs w:val="24"/>
            </w:rPr>
            <w:ptab w:relativeTo="margin" w:alignment="right" w:leader="dot"/>
          </w:r>
          <w:r>
            <w:rPr>
              <w:rFonts w:ascii="仿宋" w:hAnsi="仿宋" w:eastAsia="仿宋"/>
              <w:b/>
              <w:bCs/>
              <w:sz w:val="24"/>
              <w:szCs w:val="24"/>
              <w:lang w:val="zh-CN"/>
            </w:rPr>
            <w:t>61</w:t>
          </w:r>
        </w:p>
        <w:p w14:paraId="4B5DB723">
          <w:pPr>
            <w:pStyle w:val="17"/>
            <w:ind w:left="216" w:firstLine="720" w:firstLineChars="300"/>
            <w:rPr>
              <w:rFonts w:ascii="仿宋" w:hAnsi="仿宋" w:eastAsia="仿宋"/>
              <w:sz w:val="24"/>
              <w:szCs w:val="24"/>
            </w:rPr>
          </w:pPr>
          <w:r>
            <w:rPr>
              <w:rFonts w:hint="eastAsia" w:ascii="仿宋" w:hAnsi="仿宋" w:eastAsia="仿宋"/>
              <w:sz w:val="24"/>
              <w:szCs w:val="24"/>
            </w:rPr>
            <w:t>一、</w:t>
          </w:r>
          <w:r>
            <w:rPr>
              <w:rFonts w:ascii="仿宋" w:hAnsi="仿宋" w:eastAsia="仿宋"/>
              <w:sz w:val="24"/>
              <w:szCs w:val="24"/>
            </w:rPr>
            <w:t>提升建筑能效和低碳水平</w:t>
          </w:r>
          <w:r>
            <w:rPr>
              <w:rFonts w:ascii="仿宋" w:hAnsi="仿宋" w:eastAsia="仿宋"/>
              <w:sz w:val="24"/>
              <w:szCs w:val="24"/>
            </w:rPr>
            <w:ptab w:relativeTo="margin" w:alignment="right" w:leader="dot"/>
          </w:r>
          <w:r>
            <w:rPr>
              <w:rFonts w:ascii="仿宋" w:hAnsi="仿宋" w:eastAsia="仿宋"/>
              <w:sz w:val="24"/>
              <w:szCs w:val="24"/>
            </w:rPr>
            <w:t>63</w:t>
          </w:r>
        </w:p>
        <w:p w14:paraId="31769D1E">
          <w:pPr>
            <w:pStyle w:val="17"/>
            <w:ind w:left="216" w:firstLine="720" w:firstLineChars="300"/>
            <w:rPr>
              <w:rFonts w:ascii="仿宋" w:hAnsi="仿宋" w:eastAsia="仿宋"/>
              <w:sz w:val="24"/>
              <w:szCs w:val="24"/>
            </w:rPr>
          </w:pPr>
          <w:r>
            <w:rPr>
              <w:rFonts w:hint="eastAsia" w:ascii="仿宋" w:hAnsi="仿宋" w:eastAsia="仿宋"/>
              <w:sz w:val="24"/>
              <w:szCs w:val="24"/>
            </w:rPr>
            <w:t>二、</w:t>
          </w:r>
          <w:r>
            <w:rPr>
              <w:rFonts w:ascii="仿宋" w:hAnsi="仿宋" w:eastAsia="仿宋"/>
              <w:sz w:val="24"/>
              <w:szCs w:val="24"/>
            </w:rPr>
            <w:t>改善既有建筑节能绿色水平</w:t>
          </w:r>
          <w:r>
            <w:rPr>
              <w:rFonts w:ascii="仿宋" w:hAnsi="仿宋" w:eastAsia="仿宋"/>
              <w:sz w:val="24"/>
              <w:szCs w:val="24"/>
            </w:rPr>
            <w:ptab w:relativeTo="margin" w:alignment="right" w:leader="dot"/>
          </w:r>
          <w:r>
            <w:rPr>
              <w:rFonts w:ascii="仿宋" w:hAnsi="仿宋" w:eastAsia="仿宋"/>
              <w:sz w:val="24"/>
              <w:szCs w:val="24"/>
              <w:lang w:val="zh-CN"/>
            </w:rPr>
            <w:t>61</w:t>
          </w:r>
        </w:p>
        <w:p w14:paraId="1C5F10FD">
          <w:pPr>
            <w:pStyle w:val="17"/>
            <w:ind w:left="216" w:firstLine="720" w:firstLineChars="300"/>
            <w:rPr>
              <w:rFonts w:ascii="仿宋" w:hAnsi="仿宋" w:eastAsia="仿宋"/>
              <w:sz w:val="24"/>
              <w:szCs w:val="24"/>
              <w:lang w:val="zh-CN"/>
            </w:rPr>
          </w:pPr>
          <w:r>
            <w:rPr>
              <w:rFonts w:hint="eastAsia" w:ascii="仿宋" w:hAnsi="仿宋" w:eastAsia="仿宋"/>
              <w:sz w:val="24"/>
              <w:szCs w:val="24"/>
            </w:rPr>
            <w:t>三、</w:t>
          </w:r>
          <w:r>
            <w:rPr>
              <w:rFonts w:ascii="仿宋" w:hAnsi="仿宋" w:eastAsia="仿宋"/>
              <w:sz w:val="24"/>
              <w:szCs w:val="24"/>
            </w:rPr>
            <w:t>推动绿色建筑高质量发展</w:t>
          </w:r>
          <w:r>
            <w:rPr>
              <w:rFonts w:ascii="仿宋" w:hAnsi="仿宋" w:eastAsia="仿宋"/>
              <w:sz w:val="24"/>
              <w:szCs w:val="24"/>
            </w:rPr>
            <w:ptab w:relativeTo="margin" w:alignment="right" w:leader="dot"/>
          </w:r>
          <w:r>
            <w:rPr>
              <w:rFonts w:ascii="仿宋" w:hAnsi="仿宋" w:eastAsia="仿宋"/>
              <w:sz w:val="24"/>
              <w:szCs w:val="24"/>
            </w:rPr>
            <w:t>64</w:t>
          </w:r>
        </w:p>
        <w:p w14:paraId="405ACA51">
          <w:pPr>
            <w:pStyle w:val="17"/>
            <w:ind w:left="216" w:firstLine="720" w:firstLineChars="300"/>
            <w:rPr>
              <w:rFonts w:ascii="仿宋" w:hAnsi="仿宋" w:eastAsia="仿宋"/>
              <w:sz w:val="24"/>
              <w:szCs w:val="24"/>
            </w:rPr>
          </w:pPr>
          <w:r>
            <w:rPr>
              <w:rFonts w:hint="eastAsia" w:ascii="仿宋" w:hAnsi="仿宋" w:eastAsia="仿宋"/>
              <w:sz w:val="24"/>
              <w:szCs w:val="24"/>
            </w:rPr>
            <w:t>四、</w:t>
          </w:r>
          <w:r>
            <w:rPr>
              <w:rFonts w:ascii="仿宋" w:hAnsi="仿宋" w:eastAsia="仿宋"/>
              <w:sz w:val="24"/>
              <w:szCs w:val="24"/>
            </w:rPr>
            <w:t>推动建筑用能系统清洁化与低碳化</w:t>
          </w:r>
          <w:r>
            <w:rPr>
              <w:rFonts w:ascii="仿宋" w:hAnsi="仿宋" w:eastAsia="仿宋"/>
              <w:sz w:val="24"/>
              <w:szCs w:val="24"/>
            </w:rPr>
            <w:ptab w:relativeTo="margin" w:alignment="right" w:leader="dot"/>
          </w:r>
          <w:r>
            <w:rPr>
              <w:rFonts w:ascii="仿宋" w:hAnsi="仿宋" w:eastAsia="仿宋"/>
              <w:sz w:val="24"/>
              <w:szCs w:val="24"/>
            </w:rPr>
            <w:t>67</w:t>
          </w:r>
        </w:p>
        <w:p w14:paraId="45A168CD">
          <w:pPr>
            <w:pStyle w:val="17"/>
            <w:ind w:left="216" w:firstLine="720" w:firstLineChars="300"/>
            <w:rPr>
              <w:rFonts w:ascii="仿宋" w:hAnsi="仿宋" w:eastAsia="仿宋"/>
              <w:sz w:val="24"/>
              <w:szCs w:val="24"/>
            </w:rPr>
          </w:pPr>
          <w:r>
            <w:rPr>
              <w:rFonts w:hint="eastAsia" w:ascii="仿宋" w:hAnsi="仿宋" w:eastAsia="仿宋"/>
              <w:sz w:val="24"/>
              <w:szCs w:val="24"/>
            </w:rPr>
            <w:t>五、新型建筑工业化发展</w:t>
          </w:r>
          <w:r>
            <w:rPr>
              <w:rFonts w:ascii="仿宋" w:hAnsi="仿宋" w:eastAsia="仿宋"/>
              <w:sz w:val="24"/>
              <w:szCs w:val="24"/>
            </w:rPr>
            <w:ptab w:relativeTo="margin" w:alignment="right" w:leader="dot"/>
          </w:r>
          <w:r>
            <w:rPr>
              <w:rFonts w:ascii="仿宋" w:hAnsi="仿宋" w:eastAsia="仿宋"/>
              <w:sz w:val="24"/>
              <w:szCs w:val="24"/>
            </w:rPr>
            <w:t>69</w:t>
          </w:r>
        </w:p>
        <w:p w14:paraId="2794AB09">
          <w:pPr>
            <w:pStyle w:val="16"/>
            <w:ind w:firstLine="482"/>
            <w:rPr>
              <w:rFonts w:ascii="仿宋" w:hAnsi="仿宋" w:eastAsia="仿宋"/>
              <w:sz w:val="24"/>
              <w:szCs w:val="24"/>
            </w:rPr>
          </w:pPr>
          <w:r>
            <w:rPr>
              <w:rFonts w:hint="eastAsia" w:ascii="仿宋" w:hAnsi="仿宋" w:eastAsia="仿宋"/>
              <w:b/>
              <w:bCs/>
              <w:sz w:val="24"/>
              <w:szCs w:val="24"/>
            </w:rPr>
            <w:t>第六章 保障措施</w:t>
          </w:r>
          <w:r>
            <w:rPr>
              <w:rFonts w:ascii="仿宋" w:hAnsi="仿宋" w:eastAsia="仿宋"/>
              <w:sz w:val="24"/>
              <w:szCs w:val="24"/>
            </w:rPr>
            <w:ptab w:relativeTo="margin" w:alignment="right" w:leader="dot"/>
          </w:r>
          <w:r>
            <w:rPr>
              <w:rFonts w:ascii="仿宋" w:hAnsi="仿宋" w:eastAsia="仿宋"/>
              <w:b/>
              <w:bCs/>
              <w:sz w:val="24"/>
              <w:szCs w:val="24"/>
            </w:rPr>
            <w:t>72</w:t>
          </w:r>
        </w:p>
        <w:p w14:paraId="65208E64">
          <w:pPr>
            <w:pStyle w:val="17"/>
            <w:ind w:left="216" w:firstLine="720" w:firstLineChars="300"/>
            <w:rPr>
              <w:rFonts w:ascii="仿宋" w:hAnsi="仿宋" w:eastAsia="仿宋"/>
              <w:sz w:val="24"/>
              <w:szCs w:val="24"/>
            </w:rPr>
          </w:pPr>
          <w:r>
            <w:rPr>
              <w:rFonts w:hint="eastAsia" w:ascii="仿宋" w:hAnsi="仿宋" w:eastAsia="仿宋"/>
              <w:sz w:val="24"/>
              <w:szCs w:val="24"/>
            </w:rPr>
            <w:t>一、完善政策制度</w:t>
          </w:r>
          <w:r>
            <w:rPr>
              <w:rFonts w:ascii="仿宋" w:hAnsi="仿宋" w:eastAsia="仿宋"/>
              <w:sz w:val="24"/>
              <w:szCs w:val="24"/>
            </w:rPr>
            <w:ptab w:relativeTo="margin" w:alignment="right" w:leader="dot"/>
          </w:r>
          <w:r>
            <w:rPr>
              <w:rFonts w:ascii="仿宋" w:hAnsi="仿宋" w:eastAsia="仿宋"/>
              <w:sz w:val="24"/>
              <w:szCs w:val="24"/>
            </w:rPr>
            <w:t>72</w:t>
          </w:r>
        </w:p>
        <w:p w14:paraId="05485383">
          <w:pPr>
            <w:pStyle w:val="17"/>
            <w:ind w:left="216" w:firstLine="720" w:firstLineChars="300"/>
            <w:rPr>
              <w:rFonts w:ascii="仿宋" w:hAnsi="仿宋" w:eastAsia="仿宋"/>
              <w:sz w:val="24"/>
              <w:szCs w:val="24"/>
            </w:rPr>
          </w:pPr>
          <w:r>
            <w:rPr>
              <w:rFonts w:hint="eastAsia" w:ascii="仿宋" w:hAnsi="仿宋" w:eastAsia="仿宋"/>
              <w:sz w:val="24"/>
              <w:szCs w:val="24"/>
            </w:rPr>
            <w:t>二、强化激励机制</w:t>
          </w:r>
          <w:r>
            <w:rPr>
              <w:rFonts w:ascii="仿宋" w:hAnsi="仿宋" w:eastAsia="仿宋"/>
              <w:sz w:val="24"/>
              <w:szCs w:val="24"/>
            </w:rPr>
            <w:ptab w:relativeTo="margin" w:alignment="right" w:leader="dot"/>
          </w:r>
          <w:r>
            <w:rPr>
              <w:rFonts w:ascii="仿宋" w:hAnsi="仿宋" w:eastAsia="仿宋"/>
              <w:sz w:val="24"/>
              <w:szCs w:val="24"/>
              <w:lang w:val="zh-CN"/>
            </w:rPr>
            <w:t>72</w:t>
          </w:r>
        </w:p>
        <w:p w14:paraId="78638B4C">
          <w:pPr>
            <w:pStyle w:val="17"/>
            <w:ind w:left="216" w:firstLine="720" w:firstLineChars="300"/>
            <w:rPr>
              <w:rFonts w:ascii="仿宋" w:hAnsi="仿宋" w:eastAsia="仿宋"/>
              <w:sz w:val="24"/>
              <w:szCs w:val="24"/>
              <w:lang w:val="zh-CN"/>
            </w:rPr>
          </w:pPr>
          <w:r>
            <w:rPr>
              <w:rFonts w:hint="eastAsia" w:ascii="仿宋" w:hAnsi="仿宋" w:eastAsia="仿宋"/>
              <w:sz w:val="24"/>
              <w:szCs w:val="24"/>
            </w:rPr>
            <w:t>三、</w:t>
          </w:r>
          <w:r>
            <w:rPr>
              <w:rFonts w:ascii="仿宋" w:hAnsi="仿宋" w:eastAsia="仿宋"/>
              <w:sz w:val="24"/>
              <w:szCs w:val="24"/>
            </w:rPr>
            <w:t>推动</w:t>
          </w:r>
          <w:r>
            <w:rPr>
              <w:rFonts w:hint="eastAsia" w:ascii="仿宋" w:hAnsi="仿宋" w:eastAsia="仿宋"/>
              <w:sz w:val="24"/>
              <w:szCs w:val="24"/>
            </w:rPr>
            <w:t>科技创新</w:t>
          </w:r>
          <w:r>
            <w:rPr>
              <w:rFonts w:ascii="仿宋" w:hAnsi="仿宋" w:eastAsia="仿宋"/>
              <w:sz w:val="24"/>
              <w:szCs w:val="24"/>
            </w:rPr>
            <w:ptab w:relativeTo="margin" w:alignment="right" w:leader="dot"/>
          </w:r>
          <w:r>
            <w:rPr>
              <w:rFonts w:ascii="仿宋" w:hAnsi="仿宋" w:eastAsia="仿宋"/>
              <w:sz w:val="24"/>
              <w:szCs w:val="24"/>
            </w:rPr>
            <w:t>72</w:t>
          </w:r>
        </w:p>
        <w:p w14:paraId="0E669DCF">
          <w:pPr>
            <w:pStyle w:val="17"/>
            <w:ind w:left="216" w:firstLine="720" w:firstLineChars="300"/>
            <w:rPr>
              <w:rFonts w:ascii="仿宋" w:hAnsi="仿宋" w:eastAsia="仿宋"/>
              <w:sz w:val="24"/>
              <w:szCs w:val="24"/>
            </w:rPr>
          </w:pPr>
          <w:r>
            <w:rPr>
              <w:rFonts w:hint="eastAsia" w:ascii="仿宋" w:hAnsi="仿宋" w:eastAsia="仿宋"/>
              <w:sz w:val="24"/>
              <w:szCs w:val="24"/>
            </w:rPr>
            <w:t>四、深化数据应用</w:t>
          </w:r>
          <w:r>
            <w:rPr>
              <w:rFonts w:ascii="仿宋" w:hAnsi="仿宋" w:eastAsia="仿宋"/>
              <w:sz w:val="24"/>
              <w:szCs w:val="24"/>
            </w:rPr>
            <w:ptab w:relativeTo="margin" w:alignment="right" w:leader="dot"/>
          </w:r>
          <w:r>
            <w:rPr>
              <w:rFonts w:ascii="仿宋" w:hAnsi="仿宋" w:eastAsia="仿宋"/>
              <w:sz w:val="24"/>
              <w:szCs w:val="24"/>
            </w:rPr>
            <w:t>73</w:t>
          </w:r>
        </w:p>
        <w:p w14:paraId="20F67318">
          <w:pPr>
            <w:pStyle w:val="17"/>
            <w:ind w:left="216" w:firstLine="720" w:firstLineChars="300"/>
            <w:rPr>
              <w:rFonts w:ascii="仿宋" w:hAnsi="仿宋" w:eastAsia="仿宋"/>
              <w:sz w:val="24"/>
              <w:szCs w:val="24"/>
            </w:rPr>
          </w:pPr>
          <w:r>
            <w:rPr>
              <w:rFonts w:hint="eastAsia" w:ascii="仿宋" w:hAnsi="仿宋" w:eastAsia="仿宋"/>
              <w:sz w:val="24"/>
              <w:szCs w:val="24"/>
            </w:rPr>
            <w:t>五、优化市场环境</w:t>
          </w:r>
          <w:r>
            <w:rPr>
              <w:rFonts w:ascii="仿宋" w:hAnsi="仿宋" w:eastAsia="仿宋"/>
              <w:sz w:val="24"/>
              <w:szCs w:val="24"/>
            </w:rPr>
            <w:ptab w:relativeTo="margin" w:alignment="right" w:leader="dot"/>
          </w:r>
          <w:r>
            <w:rPr>
              <w:rFonts w:ascii="仿宋" w:hAnsi="仿宋" w:eastAsia="仿宋"/>
              <w:sz w:val="24"/>
              <w:szCs w:val="24"/>
            </w:rPr>
            <w:t>73</w:t>
          </w:r>
        </w:p>
        <w:p w14:paraId="2EDD4C19">
          <w:pPr>
            <w:pStyle w:val="17"/>
            <w:ind w:left="216" w:firstLine="720" w:firstLineChars="300"/>
            <w:rPr>
              <w:rFonts w:ascii="仿宋" w:hAnsi="仿宋" w:eastAsia="仿宋"/>
              <w:sz w:val="24"/>
              <w:szCs w:val="24"/>
            </w:rPr>
          </w:pPr>
          <w:r>
            <w:rPr>
              <w:rFonts w:hint="eastAsia" w:ascii="仿宋" w:hAnsi="仿宋" w:eastAsia="仿宋"/>
              <w:sz w:val="24"/>
              <w:szCs w:val="24"/>
            </w:rPr>
            <w:t>六、加强人才培养</w:t>
          </w:r>
          <w:r>
            <w:rPr>
              <w:rFonts w:ascii="仿宋" w:hAnsi="仿宋" w:eastAsia="仿宋"/>
              <w:sz w:val="24"/>
              <w:szCs w:val="24"/>
            </w:rPr>
            <w:ptab w:relativeTo="margin" w:alignment="right" w:leader="dot"/>
          </w:r>
          <w:r>
            <w:rPr>
              <w:rFonts w:ascii="仿宋" w:hAnsi="仿宋" w:eastAsia="仿宋"/>
              <w:sz w:val="24"/>
              <w:szCs w:val="24"/>
            </w:rPr>
            <w:t>73</w:t>
          </w:r>
        </w:p>
        <w:p w14:paraId="2784FABB">
          <w:pPr>
            <w:pStyle w:val="16"/>
            <w:ind w:firstLine="482"/>
            <w:rPr>
              <w:rFonts w:ascii="仿宋" w:hAnsi="仿宋" w:eastAsia="仿宋"/>
              <w:sz w:val="24"/>
              <w:szCs w:val="24"/>
            </w:rPr>
          </w:pPr>
          <w:r>
            <w:rPr>
              <w:rFonts w:hint="eastAsia" w:ascii="仿宋" w:hAnsi="仿宋" w:eastAsia="仿宋"/>
              <w:b/>
              <w:bCs/>
              <w:sz w:val="24"/>
              <w:szCs w:val="24"/>
            </w:rPr>
            <w:t>第七章 规划实施</w:t>
          </w:r>
          <w:r>
            <w:rPr>
              <w:rFonts w:ascii="仿宋" w:hAnsi="仿宋" w:eastAsia="仿宋"/>
              <w:sz w:val="24"/>
              <w:szCs w:val="24"/>
            </w:rPr>
            <w:ptab w:relativeTo="margin" w:alignment="right" w:leader="dot"/>
          </w:r>
          <w:r>
            <w:rPr>
              <w:rFonts w:ascii="仿宋" w:hAnsi="仿宋" w:eastAsia="仿宋"/>
              <w:b/>
              <w:bCs/>
              <w:sz w:val="24"/>
              <w:szCs w:val="24"/>
            </w:rPr>
            <w:t>75</w:t>
          </w:r>
        </w:p>
        <w:p w14:paraId="6DBFB087">
          <w:pPr>
            <w:pStyle w:val="17"/>
            <w:ind w:left="216" w:firstLine="720" w:firstLineChars="300"/>
            <w:rPr>
              <w:rFonts w:ascii="仿宋" w:hAnsi="仿宋" w:eastAsia="仿宋"/>
              <w:sz w:val="24"/>
              <w:szCs w:val="24"/>
            </w:rPr>
          </w:pPr>
          <w:r>
            <w:rPr>
              <w:rFonts w:hint="eastAsia" w:ascii="仿宋" w:hAnsi="仿宋" w:eastAsia="仿宋"/>
              <w:sz w:val="24"/>
              <w:szCs w:val="24"/>
            </w:rPr>
            <w:t>一、加强组织领导</w:t>
          </w:r>
          <w:r>
            <w:rPr>
              <w:rFonts w:ascii="仿宋" w:hAnsi="仿宋" w:eastAsia="仿宋"/>
              <w:sz w:val="24"/>
              <w:szCs w:val="24"/>
            </w:rPr>
            <w:ptab w:relativeTo="margin" w:alignment="right" w:leader="dot"/>
          </w:r>
          <w:r>
            <w:rPr>
              <w:rFonts w:ascii="仿宋" w:hAnsi="仿宋" w:eastAsia="仿宋"/>
              <w:sz w:val="24"/>
              <w:szCs w:val="24"/>
            </w:rPr>
            <w:t>75</w:t>
          </w:r>
        </w:p>
        <w:p w14:paraId="7C6F48B6">
          <w:pPr>
            <w:pStyle w:val="17"/>
            <w:ind w:left="216" w:firstLine="720" w:firstLineChars="300"/>
            <w:rPr>
              <w:rFonts w:ascii="仿宋" w:hAnsi="仿宋" w:eastAsia="仿宋"/>
              <w:sz w:val="24"/>
              <w:szCs w:val="24"/>
            </w:rPr>
          </w:pPr>
          <w:r>
            <w:rPr>
              <w:rFonts w:hint="eastAsia" w:ascii="仿宋" w:hAnsi="仿宋" w:eastAsia="仿宋"/>
              <w:sz w:val="24"/>
              <w:szCs w:val="24"/>
            </w:rPr>
            <w:t>二、严格绩效考核</w:t>
          </w:r>
          <w:r>
            <w:rPr>
              <w:rFonts w:ascii="仿宋" w:hAnsi="仿宋" w:eastAsia="仿宋"/>
              <w:sz w:val="24"/>
              <w:szCs w:val="24"/>
            </w:rPr>
            <w:ptab w:relativeTo="margin" w:alignment="right" w:leader="dot"/>
          </w:r>
          <w:r>
            <w:rPr>
              <w:rFonts w:ascii="仿宋" w:hAnsi="仿宋" w:eastAsia="仿宋"/>
              <w:sz w:val="24"/>
              <w:szCs w:val="24"/>
              <w:lang w:val="zh-CN"/>
            </w:rPr>
            <w:t>75</w:t>
          </w:r>
        </w:p>
        <w:p w14:paraId="7B4CAA55">
          <w:pPr>
            <w:pStyle w:val="17"/>
            <w:ind w:left="216" w:firstLine="720" w:firstLineChars="300"/>
            <w:rPr>
              <w:rFonts w:ascii="仿宋" w:hAnsi="仿宋" w:eastAsia="仿宋"/>
              <w:sz w:val="24"/>
              <w:szCs w:val="24"/>
              <w:lang w:val="zh-CN"/>
            </w:rPr>
          </w:pPr>
          <w:r>
            <w:rPr>
              <w:rFonts w:hint="eastAsia" w:ascii="仿宋" w:hAnsi="仿宋" w:eastAsia="仿宋"/>
              <w:sz w:val="24"/>
              <w:szCs w:val="24"/>
            </w:rPr>
            <w:t>三、做好宣传推广</w:t>
          </w:r>
          <w:r>
            <w:rPr>
              <w:rFonts w:ascii="仿宋" w:hAnsi="仿宋" w:eastAsia="仿宋"/>
              <w:sz w:val="24"/>
              <w:szCs w:val="24"/>
            </w:rPr>
            <w:ptab w:relativeTo="margin" w:alignment="right" w:leader="dot"/>
          </w:r>
          <w:r>
            <w:rPr>
              <w:rFonts w:ascii="仿宋" w:hAnsi="仿宋" w:eastAsia="仿宋"/>
              <w:sz w:val="24"/>
              <w:szCs w:val="24"/>
            </w:rPr>
            <w:t>75</w:t>
          </w:r>
        </w:p>
        <w:p w14:paraId="469DE831">
          <w:pPr>
            <w:pStyle w:val="16"/>
            <w:ind w:firstLine="482"/>
            <w:rPr>
              <w:rFonts w:ascii="仿宋" w:hAnsi="仿宋" w:eastAsia="仿宋"/>
              <w:sz w:val="24"/>
              <w:szCs w:val="24"/>
            </w:rPr>
          </w:pPr>
          <w:r>
            <w:rPr>
              <w:rFonts w:hint="eastAsia" w:ascii="仿宋" w:hAnsi="仿宋" w:eastAsia="仿宋"/>
              <w:b/>
              <w:bCs/>
              <w:sz w:val="24"/>
              <w:szCs w:val="24"/>
            </w:rPr>
            <w:t>第八章 附录</w:t>
          </w:r>
          <w:r>
            <w:rPr>
              <w:rFonts w:ascii="仿宋" w:hAnsi="仿宋" w:eastAsia="仿宋"/>
              <w:sz w:val="24"/>
              <w:szCs w:val="24"/>
            </w:rPr>
            <w:ptab w:relativeTo="margin" w:alignment="right" w:leader="dot"/>
          </w:r>
          <w:r>
            <w:rPr>
              <w:rFonts w:ascii="仿宋" w:hAnsi="仿宋" w:eastAsia="仿宋"/>
              <w:b/>
              <w:bCs/>
              <w:sz w:val="24"/>
              <w:szCs w:val="24"/>
            </w:rPr>
            <w:t>77</w:t>
          </w:r>
        </w:p>
        <w:p w14:paraId="30E98E07">
          <w:pPr>
            <w:pStyle w:val="17"/>
            <w:ind w:left="216" w:firstLine="720" w:firstLineChars="300"/>
            <w:rPr>
              <w:rFonts w:ascii="仿宋" w:hAnsi="仿宋" w:eastAsia="仿宋"/>
              <w:sz w:val="24"/>
              <w:szCs w:val="24"/>
            </w:rPr>
          </w:pPr>
          <w:r>
            <w:rPr>
              <w:rFonts w:hint="eastAsia" w:ascii="仿宋" w:hAnsi="仿宋" w:eastAsia="仿宋"/>
              <w:sz w:val="24"/>
              <w:szCs w:val="24"/>
            </w:rPr>
            <w:t>附件一</w:t>
          </w:r>
          <w:r>
            <w:rPr>
              <w:rFonts w:ascii="仿宋" w:hAnsi="仿宋" w:eastAsia="仿宋"/>
              <w:sz w:val="24"/>
              <w:szCs w:val="24"/>
            </w:rPr>
            <w:t xml:space="preserve"> 沈阳市建筑节能与绿色建筑</w:t>
          </w:r>
          <w:r>
            <w:rPr>
              <w:rFonts w:hint="eastAsia" w:ascii="仿宋" w:hAnsi="仿宋" w:eastAsia="仿宋"/>
              <w:sz w:val="24"/>
              <w:szCs w:val="24"/>
              <w:lang w:eastAsia="zh-CN"/>
            </w:rPr>
            <w:t>“十四五”规划</w:t>
          </w:r>
          <w:r>
            <w:rPr>
              <w:rFonts w:ascii="仿宋" w:hAnsi="仿宋" w:eastAsia="仿宋"/>
              <w:sz w:val="24"/>
              <w:szCs w:val="24"/>
            </w:rPr>
            <w:t>调研问卷</w:t>
          </w:r>
          <w:r>
            <w:rPr>
              <w:rFonts w:ascii="仿宋" w:hAnsi="仿宋" w:eastAsia="仿宋"/>
              <w:sz w:val="24"/>
              <w:szCs w:val="24"/>
            </w:rPr>
            <w:ptab w:relativeTo="margin" w:alignment="right" w:leader="dot"/>
          </w:r>
          <w:r>
            <w:rPr>
              <w:rFonts w:ascii="仿宋" w:hAnsi="仿宋" w:eastAsia="仿宋"/>
              <w:sz w:val="24"/>
              <w:szCs w:val="24"/>
            </w:rPr>
            <w:t>77</w:t>
          </w:r>
        </w:p>
        <w:p w14:paraId="320BDF8B">
          <w:pPr>
            <w:pStyle w:val="17"/>
            <w:ind w:left="216" w:firstLine="720" w:firstLineChars="300"/>
            <w:rPr>
              <w:rFonts w:ascii="仿宋" w:hAnsi="仿宋" w:eastAsia="仿宋"/>
              <w:sz w:val="24"/>
              <w:szCs w:val="24"/>
            </w:rPr>
          </w:pPr>
          <w:r>
            <w:rPr>
              <w:rFonts w:hint="eastAsia" w:ascii="仿宋" w:hAnsi="仿宋" w:eastAsia="仿宋"/>
              <w:sz w:val="24"/>
              <w:szCs w:val="24"/>
            </w:rPr>
            <w:t>附件二</w:t>
          </w:r>
          <w:r>
            <w:rPr>
              <w:rFonts w:ascii="仿宋" w:hAnsi="仿宋" w:eastAsia="仿宋"/>
              <w:sz w:val="24"/>
              <w:szCs w:val="24"/>
            </w:rPr>
            <w:t xml:space="preserve"> 沈阳市建筑能耗数据测算与预测</w:t>
          </w:r>
          <w:r>
            <w:rPr>
              <w:rFonts w:ascii="仿宋" w:hAnsi="仿宋" w:eastAsia="仿宋"/>
              <w:sz w:val="24"/>
              <w:szCs w:val="24"/>
            </w:rPr>
            <w:ptab w:relativeTo="margin" w:alignment="right" w:leader="dot"/>
          </w:r>
          <w:r>
            <w:rPr>
              <w:rFonts w:ascii="仿宋" w:hAnsi="仿宋" w:eastAsia="仿宋"/>
              <w:sz w:val="24"/>
              <w:szCs w:val="24"/>
              <w:lang w:val="zh-CN"/>
            </w:rPr>
            <w:t>82</w:t>
          </w:r>
        </w:p>
        <w:p w14:paraId="408752A1">
          <w:pPr>
            <w:pStyle w:val="17"/>
            <w:ind w:left="216" w:firstLine="720" w:firstLineChars="300"/>
            <w:rPr>
              <w:rFonts w:ascii="仿宋" w:hAnsi="仿宋" w:eastAsia="仿宋"/>
              <w:sz w:val="24"/>
              <w:szCs w:val="24"/>
              <w:lang w:val="zh-CN"/>
            </w:rPr>
          </w:pPr>
          <w:r>
            <w:rPr>
              <w:rFonts w:hint="eastAsia" w:ascii="仿宋" w:hAnsi="仿宋" w:eastAsia="仿宋"/>
              <w:sz w:val="24"/>
              <w:szCs w:val="24"/>
            </w:rPr>
            <w:t>附件三</w:t>
          </w:r>
          <w:r>
            <w:rPr>
              <w:rFonts w:ascii="仿宋" w:hAnsi="仿宋" w:eastAsia="仿宋"/>
              <w:sz w:val="24"/>
              <w:szCs w:val="24"/>
            </w:rPr>
            <w:t xml:space="preserve">  相关政策与文件梳理</w:t>
          </w:r>
          <w:r>
            <w:rPr>
              <w:rFonts w:ascii="仿宋" w:hAnsi="仿宋" w:eastAsia="仿宋"/>
              <w:sz w:val="24"/>
              <w:szCs w:val="24"/>
            </w:rPr>
            <w:ptab w:relativeTo="margin" w:alignment="right" w:leader="dot"/>
          </w:r>
          <w:r>
            <w:rPr>
              <w:rFonts w:ascii="仿宋" w:hAnsi="仿宋" w:eastAsia="仿宋"/>
              <w:sz w:val="24"/>
              <w:szCs w:val="24"/>
            </w:rPr>
            <w:t>95</w:t>
          </w:r>
        </w:p>
        <w:p w14:paraId="0244973A">
          <w:pPr>
            <w:pStyle w:val="17"/>
            <w:ind w:left="216" w:firstLine="720" w:firstLineChars="300"/>
            <w:rPr>
              <w:rFonts w:ascii="仿宋" w:hAnsi="仿宋" w:eastAsia="仿宋"/>
              <w:sz w:val="24"/>
              <w:szCs w:val="24"/>
            </w:rPr>
          </w:pPr>
          <w:r>
            <w:rPr>
              <w:rFonts w:hint="eastAsia" w:ascii="仿宋" w:hAnsi="仿宋" w:eastAsia="仿宋"/>
              <w:sz w:val="24"/>
              <w:szCs w:val="24"/>
            </w:rPr>
            <w:t>附件四</w:t>
          </w:r>
          <w:r>
            <w:rPr>
              <w:rFonts w:ascii="仿宋" w:hAnsi="仿宋" w:eastAsia="仿宋"/>
              <w:sz w:val="24"/>
              <w:szCs w:val="24"/>
            </w:rPr>
            <w:t xml:space="preserve"> </w:t>
          </w:r>
          <w:r>
            <w:rPr>
              <w:rFonts w:hint="eastAsia" w:ascii="仿宋" w:hAnsi="仿宋" w:eastAsia="仿宋"/>
              <w:sz w:val="24"/>
              <w:szCs w:val="24"/>
            </w:rPr>
            <w:t>面向未来的国际目标比对</w:t>
          </w:r>
          <w:r>
            <w:rPr>
              <w:rFonts w:ascii="仿宋" w:hAnsi="仿宋" w:eastAsia="仿宋"/>
              <w:sz w:val="24"/>
              <w:szCs w:val="24"/>
            </w:rPr>
            <w:ptab w:relativeTo="margin" w:alignment="right" w:leader="dot"/>
          </w:r>
          <w:r>
            <w:rPr>
              <w:rFonts w:ascii="仿宋" w:hAnsi="仿宋" w:eastAsia="仿宋"/>
              <w:sz w:val="24"/>
              <w:szCs w:val="24"/>
            </w:rPr>
            <w:t>99</w:t>
          </w:r>
        </w:p>
        <w:p w14:paraId="4C9CDA99">
          <w:pPr>
            <w:pStyle w:val="17"/>
            <w:ind w:left="216" w:firstLine="720" w:firstLineChars="300"/>
            <w:rPr>
              <w:rFonts w:ascii="仿宋" w:hAnsi="仿宋" w:eastAsia="仿宋"/>
              <w:sz w:val="24"/>
              <w:szCs w:val="24"/>
            </w:rPr>
          </w:pPr>
          <w:r>
            <w:rPr>
              <w:rFonts w:hint="eastAsia" w:ascii="仿宋" w:hAnsi="仿宋" w:eastAsia="仿宋"/>
              <w:sz w:val="24"/>
              <w:szCs w:val="24"/>
            </w:rPr>
            <w:t>附件五</w:t>
          </w:r>
          <w:r>
            <w:rPr>
              <w:rFonts w:ascii="仿宋" w:hAnsi="仿宋" w:eastAsia="仿宋"/>
              <w:sz w:val="24"/>
              <w:szCs w:val="24"/>
            </w:rPr>
            <w:t xml:space="preserve"> </w:t>
          </w:r>
          <w:r>
            <w:rPr>
              <w:rFonts w:hint="eastAsia" w:ascii="仿宋" w:hAnsi="仿宋" w:eastAsia="仿宋"/>
              <w:sz w:val="24"/>
              <w:szCs w:val="24"/>
            </w:rPr>
            <w:t>重点任务识别思路</w:t>
          </w:r>
          <w:r>
            <w:rPr>
              <w:rFonts w:ascii="仿宋" w:hAnsi="仿宋" w:eastAsia="仿宋"/>
              <w:sz w:val="24"/>
              <w:szCs w:val="24"/>
            </w:rPr>
            <w:ptab w:relativeTo="margin" w:alignment="right" w:leader="dot"/>
          </w:r>
          <w:r>
            <w:rPr>
              <w:rFonts w:ascii="仿宋" w:hAnsi="仿宋" w:eastAsia="仿宋"/>
              <w:sz w:val="24"/>
              <w:szCs w:val="24"/>
              <w:lang w:val="zh-CN"/>
            </w:rPr>
            <w:t>104</w:t>
          </w:r>
        </w:p>
        <w:p w14:paraId="60858B97">
          <w:pPr>
            <w:pStyle w:val="17"/>
            <w:ind w:left="216" w:firstLine="720" w:firstLineChars="300"/>
            <w:rPr>
              <w:rFonts w:ascii="仿宋" w:hAnsi="仿宋" w:eastAsia="仿宋"/>
              <w:sz w:val="24"/>
              <w:szCs w:val="24"/>
              <w:lang w:val="zh-CN"/>
            </w:rPr>
          </w:pPr>
          <w:r>
            <w:rPr>
              <w:rFonts w:hint="eastAsia" w:ascii="仿宋" w:hAnsi="仿宋" w:eastAsia="仿宋"/>
              <w:sz w:val="24"/>
              <w:szCs w:val="24"/>
            </w:rPr>
            <w:t>附件六</w:t>
          </w:r>
          <w:r>
            <w:rPr>
              <w:rFonts w:ascii="仿宋" w:hAnsi="仿宋" w:eastAsia="仿宋"/>
              <w:sz w:val="24"/>
              <w:szCs w:val="24"/>
            </w:rPr>
            <w:t xml:space="preserve"> </w:t>
          </w:r>
          <w:r>
            <w:rPr>
              <w:rFonts w:hint="eastAsia" w:ascii="仿宋" w:hAnsi="仿宋" w:eastAsia="仿宋"/>
              <w:sz w:val="24"/>
              <w:szCs w:val="24"/>
            </w:rPr>
            <w:t>国内外建筑新发展历程</w:t>
          </w:r>
          <w:r>
            <w:rPr>
              <w:rFonts w:ascii="仿宋" w:hAnsi="仿宋" w:eastAsia="仿宋"/>
              <w:sz w:val="24"/>
              <w:szCs w:val="24"/>
            </w:rPr>
            <w:ptab w:relativeTo="margin" w:alignment="right" w:leader="dot"/>
          </w:r>
          <w:r>
            <w:rPr>
              <w:rFonts w:ascii="仿宋" w:hAnsi="仿宋" w:eastAsia="仿宋"/>
              <w:sz w:val="24"/>
              <w:szCs w:val="24"/>
            </w:rPr>
            <w:t>110</w:t>
          </w:r>
        </w:p>
        <w:p w14:paraId="07807377">
          <w:pPr>
            <w:pStyle w:val="11"/>
            <w:ind w:left="446"/>
          </w:pPr>
        </w:p>
      </w:sdtContent>
    </w:sdt>
    <w:p w14:paraId="75F7C8E0">
      <w:pPr>
        <w:pStyle w:val="51"/>
        <w:ind w:firstLine="0" w:firstLineChars="0"/>
        <w:jc w:val="both"/>
      </w:pPr>
    </w:p>
    <w:p w14:paraId="5045F321"/>
    <w:p w14:paraId="7F15D792">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br w:type="page"/>
      </w:r>
    </w:p>
    <w:bookmarkEnd w:id="0"/>
    <w:p w14:paraId="6222DD2D">
      <w:pPr>
        <w:pStyle w:val="2"/>
        <w:numPr>
          <w:ilvl w:val="0"/>
          <w:numId w:val="5"/>
        </w:numPr>
        <w:ind w:left="0" w:firstLine="0"/>
        <w:rPr>
          <w:rFonts w:ascii="黑体" w:hAnsi="黑体" w:eastAsia="黑体"/>
          <w:b w:val="0"/>
          <w:bCs w:val="0"/>
          <w:sz w:val="30"/>
          <w:szCs w:val="30"/>
        </w:rPr>
      </w:pPr>
      <w:bookmarkStart w:id="1" w:name="_Toc76743442"/>
      <w:bookmarkEnd w:id="1"/>
      <w:bookmarkStart w:id="2" w:name="_Toc76743795"/>
      <w:bookmarkEnd w:id="2"/>
      <w:bookmarkStart w:id="3" w:name="_Toc76743523"/>
      <w:bookmarkEnd w:id="3"/>
      <w:bookmarkStart w:id="4" w:name="_Toc76743446"/>
      <w:bookmarkEnd w:id="4"/>
      <w:bookmarkStart w:id="5" w:name="_Toc76743791"/>
      <w:bookmarkEnd w:id="5"/>
      <w:bookmarkStart w:id="6" w:name="_Toc76743610"/>
      <w:bookmarkEnd w:id="6"/>
      <w:bookmarkStart w:id="7" w:name="_Toc76743527"/>
      <w:bookmarkEnd w:id="7"/>
      <w:bookmarkStart w:id="8" w:name="_Toc76743606"/>
      <w:bookmarkEnd w:id="8"/>
      <w:bookmarkStart w:id="9" w:name="_Toc76743805"/>
      <w:bookmarkStart w:id="10" w:name="_Toc56951735"/>
      <w:bookmarkStart w:id="11" w:name="_Toc35612605"/>
      <w:r>
        <w:rPr>
          <w:rFonts w:hint="eastAsia" w:ascii="黑体" w:hAnsi="黑体" w:eastAsia="黑体"/>
          <w:b w:val="0"/>
          <w:bCs w:val="0"/>
          <w:sz w:val="30"/>
          <w:szCs w:val="30"/>
        </w:rPr>
        <w:t>总体要求</w:t>
      </w:r>
      <w:bookmarkEnd w:id="9"/>
    </w:p>
    <w:p w14:paraId="4110E768">
      <w:pPr>
        <w:snapToGrid w:val="0"/>
        <w:spacing w:before="120" w:line="360" w:lineRule="auto"/>
        <w:rPr>
          <w:rFonts w:ascii="黑体" w:hAnsi="黑体" w:eastAsia="黑体"/>
        </w:rPr>
      </w:pPr>
      <w:bookmarkStart w:id="12" w:name="_Toc76743806"/>
    </w:p>
    <w:p w14:paraId="4C1751E0">
      <w:pPr>
        <w:pStyle w:val="3"/>
        <w:ind w:left="0" w:firstLine="482"/>
        <w:rPr>
          <w:rFonts w:ascii="黑体" w:hAnsi="黑体" w:eastAsia="黑体"/>
        </w:rPr>
      </w:pPr>
      <w:r>
        <w:rPr>
          <w:rFonts w:hint="eastAsia" w:ascii="黑体" w:hAnsi="黑体" w:eastAsia="黑体"/>
        </w:rPr>
        <w:t>研究背景</w:t>
      </w:r>
      <w:bookmarkEnd w:id="12"/>
    </w:p>
    <w:p w14:paraId="70BD3C33">
      <w:pPr>
        <w:pStyle w:val="4"/>
        <w:numPr>
          <w:ilvl w:val="2"/>
          <w:numId w:val="6"/>
        </w:numPr>
        <w:spacing w:before="0" w:beforeLines="0"/>
        <w:ind w:left="0" w:firstLine="482"/>
        <w:rPr>
          <w:rFonts w:ascii="楷体" w:hAnsi="楷体" w:eastAsia="楷体"/>
          <w:b w:val="0"/>
          <w:bCs/>
          <w:sz w:val="28"/>
          <w:szCs w:val="28"/>
        </w:rPr>
      </w:pPr>
      <w:bookmarkStart w:id="13" w:name="_Toc76743807"/>
      <w:r>
        <w:rPr>
          <w:rFonts w:hint="eastAsia" w:ascii="楷体" w:hAnsi="楷体" w:eastAsia="楷体"/>
          <w:b w:val="0"/>
          <w:bCs/>
          <w:sz w:val="28"/>
          <w:szCs w:val="28"/>
        </w:rPr>
        <w:t>国内背景</w:t>
      </w:r>
      <w:bookmarkEnd w:id="13"/>
    </w:p>
    <w:p w14:paraId="3E437D35">
      <w:pPr>
        <w:spacing w:before="50" w:line="360" w:lineRule="auto"/>
        <w:rPr>
          <w:kern w:val="0"/>
        </w:rPr>
      </w:pPr>
      <w:r>
        <w:rPr>
          <w:rFonts w:hint="eastAsia"/>
          <w:kern w:val="0"/>
        </w:rPr>
        <w:t>习近平总书记在党的十九大报告中明确指出，要坚持人与自然和谐共生，牢固树立社会主义生态文明观，推动形成人与自然和谐发展现代化建设新格局。但是目前全球性的资源短缺和环境污染困扰着世界各国经济的发展，全球气温也在不断升高，严峻的环境形势要求我们在不断改善生活质量的同时，要积极实行资源节约和环境保护的措施，从而使人类社会向绿色、健康可持续的方向发展。</w:t>
      </w:r>
      <w:r>
        <w:rPr>
          <w:kern w:val="0"/>
        </w:rPr>
        <w:t>建筑节能与绿色建筑的发展对我国建筑能耗的降低</w:t>
      </w:r>
      <w:r>
        <w:rPr>
          <w:rFonts w:hint="eastAsia"/>
          <w:kern w:val="0"/>
        </w:rPr>
        <w:t>和人民群众生活品质的提高</w:t>
      </w:r>
      <w:r>
        <w:rPr>
          <w:kern w:val="0"/>
        </w:rPr>
        <w:t>起到了非常显著的效果，是未来我国生态文明建设必不可少的重要举措之一。</w:t>
      </w:r>
    </w:p>
    <w:p w14:paraId="41EAD90C">
      <w:pPr>
        <w:spacing w:before="50" w:line="360" w:lineRule="auto"/>
        <w:rPr>
          <w:kern w:val="0"/>
        </w:rPr>
      </w:pPr>
      <w:r>
        <w:rPr>
          <w:rFonts w:hint="eastAsia"/>
          <w:kern w:val="0"/>
        </w:rPr>
        <w:t>党的十九大</w:t>
      </w:r>
      <w:r>
        <w:rPr>
          <w:kern w:val="0"/>
        </w:rPr>
        <w:t>以来，在</w:t>
      </w:r>
      <w:r>
        <w:rPr>
          <w:rFonts w:hint="eastAsia"/>
          <w:kern w:val="0"/>
        </w:rPr>
        <w:t>习近平</w:t>
      </w:r>
      <w:r>
        <w:rPr>
          <w:kern w:val="0"/>
        </w:rPr>
        <w:t>生态文明</w:t>
      </w:r>
      <w:r>
        <w:rPr>
          <w:rFonts w:hint="eastAsia"/>
          <w:kern w:val="0"/>
        </w:rPr>
        <w:t>思想指引下，</w:t>
      </w:r>
      <w:r>
        <w:rPr>
          <w:kern w:val="0"/>
        </w:rPr>
        <w:t>我国建筑节能</w:t>
      </w:r>
      <w:r>
        <w:rPr>
          <w:rFonts w:hint="eastAsia"/>
          <w:kern w:val="0"/>
        </w:rPr>
        <w:t>与绿色建筑</w:t>
      </w:r>
      <w:r>
        <w:rPr>
          <w:kern w:val="0"/>
        </w:rPr>
        <w:t>工作进一步加强和提升，我国建筑能耗总量增速放缓，能耗强度出现下降趋势。新建建筑、既有建筑、公共建筑、可再生能源、绿色建筑等建筑节能重点专项工作</w:t>
      </w:r>
      <w:r>
        <w:rPr>
          <w:rFonts w:hint="eastAsia"/>
          <w:kern w:val="0"/>
          <w:lang w:eastAsia="zh-CN"/>
        </w:rPr>
        <w:t>成效显著</w:t>
      </w:r>
      <w:r>
        <w:rPr>
          <w:kern w:val="0"/>
        </w:rPr>
        <w:t>。</w:t>
      </w:r>
      <w:r>
        <w:rPr>
          <w:rFonts w:hint="eastAsia"/>
          <w:kern w:val="0"/>
        </w:rPr>
        <w:t>“十三五”期间，我国绿色建筑发展工作稳步推进，全社会对绿色建筑的理念、认识和需求逐步提升：截至2018年底，全国城镇绿色建筑占新建建筑比例超过50%，累计有13698个项目获得绿色建筑评价标识，建筑面积超过14.94亿平方米，预计2020年新增绿色建筑面积可达20亿平方米以上。在建筑生产活动中积极利用可再生能源：截至2018年底，全国累计太阳能光热建筑应用面积2.89亿平方米，累计浅层地能建筑应用面积5.26亿平方米。鼓励专业建设和运营公司，投资和运行太阳能光伏建筑系统，提高运行管理，建立共赢模式：仅2018年，全国新增太阳能光电建筑应用装机容量就已达到1527.26兆瓦。</w:t>
      </w:r>
    </w:p>
    <w:p w14:paraId="7CA62E09">
      <w:pPr>
        <w:spacing w:before="50" w:line="360" w:lineRule="auto"/>
        <w:rPr>
          <w:kern w:val="0"/>
        </w:rPr>
      </w:pPr>
      <w:r>
        <w:rPr>
          <w:kern w:val="0"/>
        </w:rPr>
        <w:t>党的十九大</w:t>
      </w:r>
      <w:r>
        <w:rPr>
          <w:rFonts w:hint="eastAsia"/>
          <w:kern w:val="0"/>
        </w:rPr>
        <w:t>报告中</w:t>
      </w:r>
      <w:r>
        <w:rPr>
          <w:kern w:val="0"/>
        </w:rPr>
        <w:t>明确指出要坚持创新、协调、绿色、开放、共享发展理念，推动实施能源生产和消费革命战略。习近平</w:t>
      </w:r>
      <w:r>
        <w:rPr>
          <w:rFonts w:hint="eastAsia"/>
          <w:kern w:val="0"/>
        </w:rPr>
        <w:t>总书记</w:t>
      </w:r>
      <w:r>
        <w:rPr>
          <w:kern w:val="0"/>
        </w:rPr>
        <w:t>在中央财经领导小组第六次会议上指出，经过长期发展，我国已成为世界上最大的能源生产国和消费国，形成了煤炭、电力、石油、天然气、新能源、可再生能源全面发展的能源供给体系，技术装备水平明显提高，生产生活用能条件显著改善。尽管我国能源发展取得了巨大成绩，但也面临着能源需求压力巨大、能源供给制约较多、能源生产和消费对生态环境损害严重、能源技术水平总体落后等挑战。中央城市工作会议强调</w:t>
      </w:r>
      <w:r>
        <w:rPr>
          <w:rFonts w:hint="eastAsia"/>
          <w:kern w:val="0"/>
        </w:rPr>
        <w:t>要</w:t>
      </w:r>
      <w:r>
        <w:rPr>
          <w:kern w:val="0"/>
        </w:rPr>
        <w:t>提高建筑节能标准，推广应用地源热泵、水源热泵、太阳能发电等新能源技术，发展被动式房屋等绿色节能建筑。</w:t>
      </w:r>
      <w:r>
        <w:rPr>
          <w:rFonts w:hint="eastAsia"/>
          <w:kern w:val="0"/>
        </w:rPr>
        <w:t>2</w:t>
      </w:r>
      <w:r>
        <w:rPr>
          <w:kern w:val="0"/>
        </w:rPr>
        <w:t>016</w:t>
      </w:r>
      <w:r>
        <w:rPr>
          <w:rFonts w:hint="eastAsia"/>
          <w:kern w:val="0"/>
        </w:rPr>
        <w:t>年，我国</w:t>
      </w:r>
      <w:r>
        <w:rPr>
          <w:kern w:val="0"/>
        </w:rPr>
        <w:t>发布了面向2030年的</w:t>
      </w:r>
      <w:r>
        <w:rPr>
          <w:rFonts w:hint="eastAsia"/>
          <w:kern w:val="0"/>
        </w:rPr>
        <w:t>“</w:t>
      </w:r>
      <w:r>
        <w:rPr>
          <w:kern w:val="0"/>
        </w:rPr>
        <w:t>1+4</w:t>
      </w:r>
      <w:r>
        <w:rPr>
          <w:rFonts w:hint="eastAsia"/>
          <w:kern w:val="0"/>
        </w:rPr>
        <w:t>”</w:t>
      </w:r>
      <w:r>
        <w:rPr>
          <w:kern w:val="0"/>
        </w:rPr>
        <w:t>战略体系（《能源生产和消费革命战略（2016-2030）》和4个专项行动计划），系统部署了2030年前推进能源革命的战略目标和主要任务，到2020年非化石能源、天然气占一次能源消费总量的比重分别达到15%和10%左右，到2030年分别达到20%和15%左右，2030年前后碳排放达到峰值并争取尽早达峰。</w:t>
      </w:r>
    </w:p>
    <w:p w14:paraId="7D6E3DC4">
      <w:pPr>
        <w:spacing w:before="50" w:line="360" w:lineRule="auto"/>
        <w:rPr>
          <w:kern w:val="0"/>
        </w:rPr>
      </w:pPr>
      <w:r>
        <w:rPr>
          <w:rFonts w:hint="eastAsia"/>
          <w:kern w:val="0"/>
        </w:rPr>
        <w:t>2019年11月5日，国家发改委印发《绿色生活创建行动总体方案》，方案中提出要推动绿色建筑创建行动，以城镇建筑作为创建对象，引导新建建筑和改扩建建筑按照绿色建筑标准设计、建设和运营，提高政府投资公益性建筑和大型公共建筑的绿色建筑星级标准要求。因地制宜实施既有居住建筑节能改造，推动既有公共建筑开展绿色改造。加强技术创新和集成应用，推动可再生能源建筑应用，推广新型绿色建造方式，提高绿色建材应用比例，积极引导超低能耗建筑建设等。综合来看，该部分始终围绕着建筑节能和绿色建筑论述，进一步阐明了其重要性和迫切性。</w:t>
      </w:r>
    </w:p>
    <w:p w14:paraId="09B109B9">
      <w:pPr>
        <w:spacing w:before="50" w:line="360" w:lineRule="auto"/>
        <w:rPr>
          <w:kern w:val="0"/>
        </w:rPr>
      </w:pPr>
      <w:r>
        <w:rPr>
          <w:rFonts w:hint="eastAsia"/>
          <w:kern w:val="0"/>
        </w:rPr>
        <w:t>2</w:t>
      </w:r>
      <w:r>
        <w:rPr>
          <w:kern w:val="0"/>
        </w:rPr>
        <w:t>021</w:t>
      </w:r>
      <w:r>
        <w:rPr>
          <w:rFonts w:hint="eastAsia"/>
          <w:kern w:val="0"/>
        </w:rPr>
        <w:t>年9月，国务院印发《</w:t>
      </w:r>
      <w:r>
        <w:rPr>
          <w:kern w:val="0"/>
        </w:rPr>
        <w:t>2030年前碳达峰行动方案</w:t>
      </w:r>
      <w:r>
        <w:rPr>
          <w:rFonts w:hint="eastAsia"/>
          <w:kern w:val="0"/>
        </w:rPr>
        <w:t>》，要求立足新发展阶段，完整、准确、全面贯彻新发展理念，构建新发展格局，坚持系统观念，处理好发展和减排、整体和局部、短期和中长期的关系，统筹稳增长和调结构，把碳达峰、碳中和纳入经济社会发展全局。方案指出，要重点实施能源绿色低碳转型行动、节能降碳增效行动、城乡建设碳达峰行动等十大行动。</w:t>
      </w:r>
    </w:p>
    <w:p w14:paraId="64AE4AA4">
      <w:pPr>
        <w:spacing w:before="50" w:line="360" w:lineRule="auto"/>
        <w:rPr>
          <w:kern w:val="0"/>
        </w:rPr>
      </w:pPr>
      <w:r>
        <w:rPr>
          <w:rFonts w:hint="eastAsia"/>
          <w:kern w:val="0"/>
        </w:rPr>
        <w:t>2</w:t>
      </w:r>
      <w:r>
        <w:rPr>
          <w:kern w:val="0"/>
        </w:rPr>
        <w:t>021</w:t>
      </w:r>
      <w:r>
        <w:rPr>
          <w:rFonts w:hint="eastAsia"/>
          <w:kern w:val="0"/>
        </w:rPr>
        <w:t>年1</w:t>
      </w:r>
      <w:r>
        <w:rPr>
          <w:kern w:val="0"/>
        </w:rPr>
        <w:t>0</w:t>
      </w:r>
      <w:r>
        <w:rPr>
          <w:rFonts w:hint="eastAsia"/>
          <w:kern w:val="0"/>
        </w:rPr>
        <w:t>月，中共中央办公厅、国务院办公厅印发了《关于推动城乡建设绿色发展的意见》，要求坚持以人民为中心，坚持生态优先、节约优先、保护优先，坚持系统观念，统筹发展和安全，同步推进物质文明建设与生态文明建设，落实碳达峰、碳中和目标任务，推进城市更新行动、乡村建设行动，加快转变城乡建设方式，促进经济社会发展全面绿色转型。文件指出，到</w:t>
      </w:r>
      <w:r>
        <w:rPr>
          <w:kern w:val="0"/>
        </w:rPr>
        <w:t>2025年，</w:t>
      </w:r>
      <w:r>
        <w:rPr>
          <w:rFonts w:hint="eastAsia"/>
          <w:kern w:val="0"/>
        </w:rPr>
        <w:t>全国</w:t>
      </w:r>
      <w:r>
        <w:rPr>
          <w:kern w:val="0"/>
        </w:rPr>
        <w:t>城乡建设绿色发展体制机制和政策体系基本建立，建设方式绿色转型成效显著，碳减排扎实推进，城市整体性、系统性、生长性增强，“城市病”问题缓解，城乡生态环境质量整体改善，城乡发展质量和资源环境承载能力明显提升，综合治理能力显著提高，绿色生活方式普遍推广。</w:t>
      </w:r>
    </w:p>
    <w:p w14:paraId="448B1671">
      <w:pPr>
        <w:spacing w:before="50" w:line="360" w:lineRule="auto"/>
        <w:rPr>
          <w:kern w:val="0"/>
        </w:rPr>
      </w:pPr>
      <w:r>
        <w:rPr>
          <w:rFonts w:hint="eastAsia"/>
          <w:kern w:val="0"/>
        </w:rPr>
        <w:t>“十四五”期间是我国在完成决胜全面建成小康社会基础上，开启社会主义现代化国家建设新征程的关键时期。为加快生态文明建设，推动形成绿色发展方式和生活方式，构建清洁、低碳、安全、高效的用能体系，应对气候变化挑战，推动我国建筑节能与绿色建筑持续健康发展，住房和城乡建设部开展了“十四五”期间建筑高质量发展的工作目标及实施措施研究，从国家层面正式启动了建筑节能与绿色建筑发展“十四五”规划。</w:t>
      </w:r>
    </w:p>
    <w:p w14:paraId="6D94A876">
      <w:pPr>
        <w:pStyle w:val="4"/>
        <w:numPr>
          <w:ilvl w:val="2"/>
          <w:numId w:val="6"/>
        </w:numPr>
        <w:spacing w:before="0" w:beforeLines="0"/>
        <w:ind w:left="0" w:firstLine="482"/>
        <w:rPr>
          <w:rFonts w:ascii="楷体" w:hAnsi="楷体" w:eastAsia="楷体"/>
          <w:b w:val="0"/>
          <w:bCs/>
          <w:sz w:val="28"/>
          <w:szCs w:val="28"/>
        </w:rPr>
      </w:pPr>
      <w:bookmarkStart w:id="14" w:name="_Toc76743808"/>
      <w:r>
        <w:rPr>
          <w:rFonts w:hint="eastAsia" w:ascii="楷体" w:hAnsi="楷体" w:eastAsia="楷体"/>
          <w:b w:val="0"/>
          <w:bCs/>
          <w:sz w:val="28"/>
          <w:szCs w:val="28"/>
        </w:rPr>
        <w:t>省内背景</w:t>
      </w:r>
      <w:bookmarkEnd w:id="14"/>
    </w:p>
    <w:p w14:paraId="5C272E58">
      <w:pPr>
        <w:spacing w:before="50" w:line="360" w:lineRule="auto"/>
        <w:rPr>
          <w:kern w:val="0"/>
        </w:rPr>
      </w:pPr>
      <w:r>
        <w:rPr>
          <w:rFonts w:hint="eastAsia"/>
          <w:kern w:val="0"/>
        </w:rPr>
        <w:t>自十九大以来，党中央、国务院制定实施了一系列关于“东北振兴”的重大战略决策，在住房城乡建设领域，辽宁省自上而下牢固树立“四个意识”，坚持“五大发展理念”，全力实施“绿色建筑体量升至、建筑节能能效提升、建设科技创新发展”，出台并实施了一系列政策、法规，全面推动了建筑能效品质提升和建设科技创新。</w:t>
      </w:r>
    </w:p>
    <w:p w14:paraId="430ACEEF">
      <w:pPr>
        <w:spacing w:before="50" w:line="360" w:lineRule="auto"/>
        <w:rPr>
          <w:kern w:val="0"/>
        </w:rPr>
      </w:pPr>
      <w:r>
        <w:rPr>
          <w:kern w:val="0"/>
        </w:rPr>
        <w:t>2018</w:t>
      </w:r>
      <w:r>
        <w:rPr>
          <w:rFonts w:hint="eastAsia"/>
          <w:kern w:val="0"/>
        </w:rPr>
        <w:t>年1</w:t>
      </w:r>
      <w:r>
        <w:rPr>
          <w:kern w:val="0"/>
        </w:rPr>
        <w:t>1</w:t>
      </w:r>
      <w:r>
        <w:rPr>
          <w:rFonts w:hint="eastAsia"/>
          <w:kern w:val="0"/>
        </w:rPr>
        <w:t>月，辽宁省第十三届人民代表大会常务委员第七次会议通过了《辽宁省绿色建筑条例》（以下简称《条例》），并于2</w:t>
      </w:r>
      <w:r>
        <w:rPr>
          <w:kern w:val="0"/>
        </w:rPr>
        <w:t>019</w:t>
      </w:r>
      <w:r>
        <w:rPr>
          <w:rFonts w:hint="eastAsia"/>
          <w:kern w:val="0"/>
        </w:rPr>
        <w:t>年2月1日开始实行。《条例》从全过程提出了绿色建筑的要求，明确了各方主体责任，鼓励了装配式、超低能耗建筑等建造方式或建造技术，并提出了关于绿色建筑的发展引导和激励政策，对辽宁省推进绿色建筑发展，促进社会进步、建设适宜人居环境，提升生态文明水平有重要意义。2</w:t>
      </w:r>
      <w:r>
        <w:rPr>
          <w:kern w:val="0"/>
        </w:rPr>
        <w:t>019</w:t>
      </w:r>
      <w:r>
        <w:rPr>
          <w:rFonts w:hint="eastAsia"/>
          <w:kern w:val="0"/>
        </w:rPr>
        <w:t>年8月3</w:t>
      </w:r>
      <w:r>
        <w:rPr>
          <w:kern w:val="0"/>
        </w:rPr>
        <w:t>0</w:t>
      </w:r>
      <w:r>
        <w:rPr>
          <w:rFonts w:hint="eastAsia"/>
          <w:kern w:val="0"/>
        </w:rPr>
        <w:t>日，辽宁省住建厅会同当地多个部门，共同制定了《辽宁省推广绿色建筑实施意见》，为进一步落实《辽宁省绿色建筑条例》，全面推进辽宁省</w:t>
      </w:r>
      <w:bookmarkStart w:id="15" w:name="_Hlk42761736"/>
      <w:r>
        <w:rPr>
          <w:rFonts w:hint="eastAsia"/>
          <w:kern w:val="0"/>
        </w:rPr>
        <w:t>绿色建筑发展，促进建设产业转型升级，提高城乡生态宜居水平</w:t>
      </w:r>
      <w:bookmarkEnd w:id="15"/>
      <w:r>
        <w:rPr>
          <w:rFonts w:hint="eastAsia"/>
          <w:kern w:val="0"/>
        </w:rPr>
        <w:t>提供了重要指导。</w:t>
      </w:r>
    </w:p>
    <w:p w14:paraId="6EF6F9FD">
      <w:pPr>
        <w:spacing w:before="50" w:line="360" w:lineRule="auto"/>
        <w:rPr>
          <w:kern w:val="0"/>
        </w:rPr>
      </w:pPr>
      <w:r>
        <w:rPr>
          <w:rFonts w:hint="eastAsia"/>
          <w:kern w:val="0"/>
        </w:rPr>
        <w:t>近年来，沈阳市按照国家《建筑节能与绿色建筑发展“十三五”规划》目标和任务及《关于转发国家发展改革委、住房城乡建设部绿色建筑行动方案的通知》（国办发〔</w:t>
      </w:r>
      <w:r>
        <w:rPr>
          <w:kern w:val="0"/>
        </w:rPr>
        <w:t>2013〕1号）《辽宁省人民政府办公厅关于转发省发展改革委省住房城乡建设厅辽宁省绿色建筑行动实施方案的通知》（辽政办发〔2015〕68号）要求</w:t>
      </w:r>
      <w:r>
        <w:rPr>
          <w:rFonts w:hint="eastAsia"/>
          <w:kern w:val="0"/>
        </w:rPr>
        <w:t>，在推进全市建筑节能与绿色建筑发展方面开展了大量工作，并取得了一定的成绩。</w:t>
      </w:r>
      <w:r>
        <w:rPr>
          <w:rFonts w:hint="eastAsia"/>
          <w:b/>
          <w:bCs/>
          <w:kern w:val="0"/>
        </w:rPr>
        <w:t>一是</w:t>
      </w:r>
      <w:r>
        <w:rPr>
          <w:rFonts w:hint="eastAsia"/>
          <w:kern w:val="0"/>
        </w:rPr>
        <w:t>绿色建筑标准体系建立与完善。结合2</w:t>
      </w:r>
      <w:r>
        <w:rPr>
          <w:kern w:val="0"/>
        </w:rPr>
        <w:t>015</w:t>
      </w:r>
      <w:r>
        <w:rPr>
          <w:rFonts w:hint="eastAsia"/>
          <w:kern w:val="0"/>
        </w:rPr>
        <w:t>年国家发布的《绿色建筑评价标准》和地方特色，对沈阳市的两部地方规范进行修订，并发布实施《绿色建筑设计施工图审查要点》、《沈阳市公共建筑绿色设计标准》和《沈阳市居住建筑绿色设计标准》。</w:t>
      </w:r>
      <w:r>
        <w:rPr>
          <w:rFonts w:hint="eastAsia"/>
          <w:b/>
          <w:bCs/>
          <w:kern w:val="0"/>
        </w:rPr>
        <w:t>二是</w:t>
      </w:r>
      <w:r>
        <w:rPr>
          <w:rFonts w:hint="eastAsia"/>
          <w:kern w:val="0"/>
        </w:rPr>
        <w:t>开展绿色示范工程的评定工作。沈阳市广泛开展绿色建筑示范工程建设工作，先已有示范工程获得国家设计阶段和验收阶段的标识。</w:t>
      </w:r>
      <w:r>
        <w:rPr>
          <w:rFonts w:hint="eastAsia"/>
          <w:b/>
          <w:bCs/>
          <w:kern w:val="0"/>
        </w:rPr>
        <w:t>三是</w:t>
      </w:r>
      <w:r>
        <w:rPr>
          <w:rFonts w:hint="eastAsia"/>
          <w:kern w:val="0"/>
        </w:rPr>
        <w:t>政府推广绿色建筑力度的加强。沈阳市将绿色建筑任务指标完成情况纳入到沈阳市节能减排工作考核体系，并分解至各区县，加强了政府推广绿色建筑的推广力度。</w:t>
      </w:r>
      <w:r>
        <w:rPr>
          <w:rFonts w:hint="eastAsia"/>
          <w:b/>
          <w:bCs/>
          <w:kern w:val="0"/>
        </w:rPr>
        <w:t>四是</w:t>
      </w:r>
      <w:r>
        <w:rPr>
          <w:rFonts w:hint="eastAsia"/>
          <w:kern w:val="0"/>
        </w:rPr>
        <w:t>绿色建筑宣传与技术培训。一方面对沈阳市广大市民宣传建筑节能与绿色建筑的重要性及相应知识，另一方面对从业人员开展培训，提升业内人员专业技术水平。</w:t>
      </w:r>
      <w:r>
        <w:rPr>
          <w:rFonts w:hint="eastAsia"/>
          <w:b/>
          <w:bCs/>
          <w:kern w:val="0"/>
        </w:rPr>
        <w:t>五是</w:t>
      </w:r>
      <w:r>
        <w:rPr>
          <w:rFonts w:hint="eastAsia"/>
          <w:kern w:val="0"/>
        </w:rPr>
        <w:t>小区改造提质力度的加大。沈阳市从房屋本体、配套设施、环境整治、服务设施四方面开展了老旧小区改造工作，以实现居民小区提质提档。</w:t>
      </w:r>
      <w:r>
        <w:rPr>
          <w:rFonts w:hint="eastAsia"/>
          <w:b/>
          <w:bCs/>
          <w:kern w:val="0"/>
        </w:rPr>
        <w:t>六是</w:t>
      </w:r>
      <w:r>
        <w:rPr>
          <w:rFonts w:hint="eastAsia"/>
          <w:kern w:val="0"/>
        </w:rPr>
        <w:t>既有居住建筑供热计量与节能改造工作的开展。近年来，沈阳市开展了“节能暖房”工程，在改善城镇居民采暖和居住条件的基础上，获得了节能、环保和经济收益。</w:t>
      </w:r>
      <w:r>
        <w:rPr>
          <w:rFonts w:hint="eastAsia"/>
          <w:b/>
          <w:bCs/>
          <w:kern w:val="0"/>
        </w:rPr>
        <w:t>七是</w:t>
      </w:r>
      <w:r>
        <w:rPr>
          <w:rFonts w:hint="eastAsia"/>
          <w:kern w:val="0"/>
        </w:rPr>
        <w:t>供热计量改革工作的推进。沈阳市在推进供热计量与节能改造工作的同时，开展了小区按照热计量收费的试点工作，为下一步供热计量改革工作的推进积累了宝贵经验。</w:t>
      </w:r>
    </w:p>
    <w:p w14:paraId="3A6DB51B">
      <w:pPr>
        <w:snapToGrid w:val="0"/>
        <w:spacing w:before="120" w:line="360" w:lineRule="auto"/>
        <w:rPr>
          <w:kern w:val="0"/>
        </w:rPr>
      </w:pPr>
      <w:r>
        <w:rPr>
          <w:rFonts w:hint="eastAsia"/>
          <w:kern w:val="0"/>
        </w:rPr>
        <w:t>总的来看，辽宁省积极出台了系列建筑节能与绿色建筑有关法规政策，致力于推动全省住房城乡建设领域绿色发展、建设产业转型升级和城乡生态宜居水平的提高，与此同时，沈阳市在标准规范、绿色示范工程、绿色建筑、小区改造和供热计量改革等方面开展了大量工作，为沈阳市研究建筑节能与绿色建筑“十四五”规划奠定了谋划基础。</w:t>
      </w:r>
    </w:p>
    <w:p w14:paraId="19B00278">
      <w:pPr>
        <w:pStyle w:val="3"/>
        <w:ind w:left="0" w:firstLine="482"/>
        <w:rPr>
          <w:rFonts w:ascii="黑体" w:hAnsi="黑体" w:eastAsia="黑体"/>
        </w:rPr>
      </w:pPr>
      <w:bookmarkStart w:id="16" w:name="_Toc76743809"/>
      <w:r>
        <w:rPr>
          <w:rFonts w:hint="eastAsia" w:ascii="黑体" w:hAnsi="黑体" w:eastAsia="黑体"/>
        </w:rPr>
        <w:t>指导思想</w:t>
      </w:r>
      <w:bookmarkEnd w:id="16"/>
    </w:p>
    <w:p w14:paraId="6B65E340">
      <w:pPr>
        <w:snapToGrid w:val="0"/>
        <w:spacing w:before="120" w:line="360" w:lineRule="auto"/>
        <w:rPr>
          <w:kern w:val="0"/>
        </w:rPr>
      </w:pPr>
      <w:r>
        <w:rPr>
          <w:rFonts w:hint="eastAsia"/>
          <w:kern w:val="0"/>
        </w:rPr>
        <w:t>全面贯彻党的十九大、十九届二中、三中、四中、五中、六中全会及两会精神，以习近平新时代中国特色社会主义思想为指导，认真落实党中央、国务院和省市决策部署，深入落实习近平总书记关于东北、辽宁振兴发展的重要讲话和指示精神，坚定不移贯彻新发展理念，坚持稳中求进工作基调，以推动高质量发展为主题，以满足人民日益增长的美好生活需要为根本目的，把握时代特征，强化战略思维，统一规划体系，提高规划质量，更好发挥发展规划的战略导向作用，为加快建筑节能和绿色建筑发展、建设生态宜居的美丽沈阳提供可靠的规划保障和科学的政策指引。</w:t>
      </w:r>
    </w:p>
    <w:p w14:paraId="4A389841">
      <w:pPr>
        <w:snapToGrid w:val="0"/>
        <w:spacing w:before="120" w:line="360" w:lineRule="auto"/>
        <w:rPr>
          <w:kern w:val="0"/>
        </w:rPr>
      </w:pPr>
      <w:r>
        <w:rPr>
          <w:kern w:val="0"/>
        </w:rPr>
        <w:t>本次规划以沈阳市为规划范围，其中主城区作为重点规划范围，以2020年为规划基准年，制定规划目标。规划期限为2021</w:t>
      </w:r>
      <w:r>
        <w:rPr>
          <w:rFonts w:hint="eastAsia"/>
          <w:kern w:val="0"/>
        </w:rPr>
        <w:t>-</w:t>
      </w:r>
      <w:r>
        <w:rPr>
          <w:kern w:val="0"/>
        </w:rPr>
        <w:t>2025年，远景展望至2035年。</w:t>
      </w:r>
    </w:p>
    <w:p w14:paraId="27AC4BD2">
      <w:pPr>
        <w:pStyle w:val="3"/>
        <w:ind w:left="0" w:firstLine="482"/>
        <w:rPr>
          <w:rFonts w:ascii="黑体" w:hAnsi="黑体" w:eastAsia="黑体"/>
        </w:rPr>
      </w:pPr>
      <w:bookmarkStart w:id="17" w:name="_Toc76743810"/>
      <w:r>
        <w:rPr>
          <w:rFonts w:hint="eastAsia" w:ascii="黑体" w:hAnsi="黑体" w:eastAsia="黑体"/>
        </w:rPr>
        <w:t>基本原则</w:t>
      </w:r>
      <w:bookmarkEnd w:id="17"/>
    </w:p>
    <w:p w14:paraId="61E7A8F6">
      <w:pPr>
        <w:snapToGrid w:val="0"/>
        <w:spacing w:before="120" w:line="360" w:lineRule="auto"/>
      </w:pPr>
      <w:r>
        <w:rPr>
          <w:rFonts w:hint="eastAsia"/>
        </w:rPr>
        <w:t>坚持问题导向，以人为本。聚焦建筑节能和绿色建筑发展的突出矛盾和重大问题，在满足人民群众对建筑舒适性、健康性、功能性需求的前提下，明确破解难题的途径和方法，提高建筑绿色水平和能源资源利用效率，改善建筑空间环境品质，切实增强广大人民群众的体验感和获得感。</w:t>
      </w:r>
    </w:p>
    <w:p w14:paraId="4361027F">
      <w:pPr>
        <w:snapToGrid w:val="0"/>
        <w:spacing w:before="120" w:line="360" w:lineRule="auto"/>
      </w:pPr>
      <w:r>
        <w:rPr>
          <w:rFonts w:hint="eastAsia"/>
        </w:rPr>
        <w:t>坚持因地制宜，统筹兼顾。立足于沈阳市发展实际以及资源禀赋，探索适合沈阳市严寒地区气候特点的特色做法，有计划、分步骤推进建筑节能和绿色建筑发展。统筹城乡一体协同发展，统筹建筑增量控制与存量优化，统筹建筑规划设计建造运行管理全过程，统筹政府行政管理与市场资源配置，增强建筑节能和绿色建筑发展的整体性、系统性、协同性。</w:t>
      </w:r>
    </w:p>
    <w:p w14:paraId="1ABA6A9A">
      <w:pPr>
        <w:snapToGrid w:val="0"/>
        <w:spacing w:before="120" w:line="360" w:lineRule="auto"/>
      </w:pPr>
      <w:r>
        <w:rPr>
          <w:rFonts w:hint="eastAsia"/>
        </w:rPr>
        <w:t>坚持科技创新，市场主导。增强规划编制的科学性，把创新作为发展的第一驱动力，激发绿色技术市场需求，壮大创新主体、增强创新活力，加快构建企业为主体的绿色技术创新体系，全面引领建筑节能和绿色建筑各领域各方面，推动沈阳市建设行业产业转型升级步伐，突出重点领域和薄弱环节，整合资源，集中攻关。</w:t>
      </w:r>
    </w:p>
    <w:p w14:paraId="77A29CC7">
      <w:pPr>
        <w:snapToGrid w:val="0"/>
        <w:spacing w:before="120" w:line="360" w:lineRule="auto"/>
      </w:pPr>
      <w:r>
        <w:rPr>
          <w:rFonts w:hint="eastAsia"/>
        </w:rPr>
        <w:t>坚持规划衔接，统一协调。“十四五”规划体现的是未来五年内推动沈阳市建筑节能和绿色建筑发展的总体方案，需要各方面协调一致、形成合力。要加强与国家和辽宁省关于生态文明建设、能源生产与消费革命、节能减排、应对气候变化等上层规划和实施方案的衔接，响应住房和城乡建设部及辽宁省“十四五”建筑节能和绿色建筑规划的部署与要求，做好与沈阳市住房和城乡建设事业管理需求的协调一致。</w:t>
      </w:r>
    </w:p>
    <w:p w14:paraId="6CA8C67C">
      <w:pPr>
        <w:pStyle w:val="3"/>
        <w:ind w:left="0" w:firstLine="482"/>
        <w:rPr>
          <w:rFonts w:ascii="黑体" w:hAnsi="黑体" w:eastAsia="黑体"/>
        </w:rPr>
      </w:pPr>
      <w:bookmarkStart w:id="18" w:name="_Toc76743811"/>
      <w:r>
        <w:rPr>
          <w:rFonts w:hint="eastAsia" w:ascii="黑体" w:hAnsi="黑体" w:eastAsia="黑体"/>
        </w:rPr>
        <w:t>研究目标</w:t>
      </w:r>
      <w:bookmarkEnd w:id="18"/>
    </w:p>
    <w:p w14:paraId="05F238B0">
      <w:pPr>
        <w:pStyle w:val="4"/>
        <w:numPr>
          <w:ilvl w:val="2"/>
          <w:numId w:val="7"/>
        </w:numPr>
        <w:spacing w:before="0" w:beforeLines="0"/>
        <w:rPr>
          <w:rFonts w:ascii="楷体" w:hAnsi="楷体" w:eastAsia="楷体"/>
          <w:b w:val="0"/>
          <w:bCs/>
          <w:sz w:val="28"/>
          <w:szCs w:val="28"/>
        </w:rPr>
      </w:pPr>
      <w:bookmarkStart w:id="19" w:name="_Toc76743812"/>
      <w:r>
        <w:rPr>
          <w:rFonts w:hint="eastAsia" w:ascii="楷体" w:hAnsi="楷体" w:eastAsia="楷体"/>
          <w:b w:val="0"/>
          <w:bCs/>
          <w:sz w:val="28"/>
          <w:szCs w:val="28"/>
        </w:rPr>
        <w:t>研究总体目标</w:t>
      </w:r>
      <w:bookmarkEnd w:id="19"/>
    </w:p>
    <w:p w14:paraId="4F3D5621">
      <w:pPr>
        <w:snapToGrid w:val="0"/>
        <w:spacing w:before="120" w:line="360" w:lineRule="auto"/>
      </w:pPr>
      <w:r>
        <w:t>全面贯彻党的十九大精神、十九届二中、三中、四中、五中</w:t>
      </w:r>
      <w:r>
        <w:rPr>
          <w:rFonts w:hint="eastAsia"/>
        </w:rPr>
        <w:t>、六中</w:t>
      </w:r>
      <w:r>
        <w:t>全会精神，坚持创新、协调、绿色、开放、共享发展理念，推动实施能源生产和消费革命战略，通过对沈阳市</w:t>
      </w:r>
      <w:r>
        <w:rPr>
          <w:kern w:val="0"/>
        </w:rPr>
        <w:t>“十三五”</w:t>
      </w:r>
      <w:r>
        <w:t>时期民用建筑节能规划实施效果进行评估，总结规划目标完成情况，分析沈阳市民用建筑用能现状及节能潜力，围绕沈阳市建筑高质量发展工作内容与发展动态，对标国家关于绿色生态区、绿色建筑、装配式建筑、超低能耗等最新要求，衔接国家建筑节能和绿色建筑发展规划中关于增量控制、存量改善、用能结构调整、建造方式转变的新任务，对沈阳市“十四五”建筑节能与绿色建筑发展规划目标、主要任务、保障措施等进行深入研究，形成立足于沈阳市“十三五”工作基础，适应沈阳市“十四五”发展形势，能够有效指导和引领建筑节能和绿色建筑发展的规划文本。</w:t>
      </w:r>
    </w:p>
    <w:p w14:paraId="79735F35">
      <w:pPr>
        <w:pStyle w:val="4"/>
        <w:numPr>
          <w:ilvl w:val="2"/>
          <w:numId w:val="7"/>
        </w:numPr>
        <w:spacing w:before="0" w:beforeLines="0"/>
        <w:rPr>
          <w:rFonts w:ascii="楷体" w:hAnsi="楷体" w:eastAsia="楷体"/>
          <w:b w:val="0"/>
          <w:bCs/>
          <w:sz w:val="28"/>
          <w:szCs w:val="28"/>
        </w:rPr>
      </w:pPr>
      <w:bookmarkStart w:id="20" w:name="_Toc76743813"/>
      <w:r>
        <w:rPr>
          <w:rFonts w:hint="eastAsia" w:ascii="楷体" w:hAnsi="楷体" w:eastAsia="楷体"/>
          <w:b w:val="0"/>
          <w:bCs/>
          <w:sz w:val="28"/>
          <w:szCs w:val="28"/>
        </w:rPr>
        <w:t>研究具体目标</w:t>
      </w:r>
      <w:bookmarkEnd w:id="20"/>
    </w:p>
    <w:p w14:paraId="412E815F">
      <w:pPr>
        <w:snapToGrid w:val="0"/>
        <w:spacing w:before="120" w:line="360" w:lineRule="auto"/>
      </w:pPr>
      <w:r>
        <w:t>一</w:t>
      </w:r>
      <w:r>
        <w:rPr>
          <w:rFonts w:hint="eastAsia"/>
        </w:rPr>
        <w:t>是从国家到省市层面，自上而下梳理沈阳市关于生态文明建设、高质量发展、能源消费总量及强度</w:t>
      </w:r>
      <w:r>
        <w:t>“</w:t>
      </w:r>
      <w:r>
        <w:rPr>
          <w:rFonts w:hint="eastAsia"/>
        </w:rPr>
        <w:t>双控</w:t>
      </w:r>
      <w:r>
        <w:t>”</w:t>
      </w:r>
      <w:r>
        <w:rPr>
          <w:rFonts w:hint="eastAsia"/>
        </w:rPr>
        <w:t>以及应对气候变化、振兴发展战略规划能等宏观政策、规划与要求对标</w:t>
      </w:r>
      <w:r>
        <w:t>“</w:t>
      </w:r>
      <w:r>
        <w:rPr>
          <w:rFonts w:hint="eastAsia"/>
        </w:rPr>
        <w:t>十四五</w:t>
      </w:r>
      <w:r>
        <w:t>”</w:t>
      </w:r>
      <w:r>
        <w:rPr>
          <w:rFonts w:hint="eastAsia"/>
        </w:rPr>
        <w:t>国家建筑业建筑节能和绿色建筑发展的要求，基于沈阳市建筑节能发展现状，对沈阳市建筑节能与绿色建筑的发展前景进行预判。确定</w:t>
      </w:r>
      <w:r>
        <w:t>“</w:t>
      </w:r>
      <w:r>
        <w:rPr>
          <w:rFonts w:hint="eastAsia"/>
        </w:rPr>
        <w:t>十四五</w:t>
      </w:r>
      <w:r>
        <w:t>”</w:t>
      </w:r>
      <w:r>
        <w:rPr>
          <w:rFonts w:hint="eastAsia"/>
        </w:rPr>
        <w:t>期间的沈阳市建筑节能与绿色建筑发展指导思想和基本原则。</w:t>
      </w:r>
    </w:p>
    <w:p w14:paraId="68697FFE">
      <w:pPr>
        <w:snapToGrid w:val="0"/>
        <w:spacing w:before="120" w:line="360" w:lineRule="auto"/>
      </w:pPr>
      <w:r>
        <w:rPr>
          <w:rFonts w:hint="eastAsia"/>
        </w:rPr>
        <w:t>二是开展沈阳市</w:t>
      </w:r>
      <w:r>
        <w:t>“</w:t>
      </w:r>
      <w:r>
        <w:rPr>
          <w:rFonts w:hint="eastAsia"/>
        </w:rPr>
        <w:t>十三五</w:t>
      </w:r>
      <w:r>
        <w:t>”</w:t>
      </w:r>
      <w:r>
        <w:rPr>
          <w:rFonts w:hint="eastAsia"/>
        </w:rPr>
        <w:t>时期民用建筑节能规划实施效果评估，对沈阳市民用建筑用能现状（不同建筑、不同系统）及节能潜力进行分析研究，对绿色生态区发展、绿色建筑发展、新建建筑能效提升、超低能耗建筑、既有建筑节能改造、可再生能源建筑应用、装配式建筑、绿色建材等重点工作进展情况进行梳理，结合</w:t>
      </w:r>
      <w:r>
        <w:t>“</w:t>
      </w:r>
      <w:r>
        <w:rPr>
          <w:rFonts w:hint="eastAsia"/>
        </w:rPr>
        <w:t>十四五</w:t>
      </w:r>
      <w:r>
        <w:t>”</w:t>
      </w:r>
      <w:r>
        <w:rPr>
          <w:rFonts w:hint="eastAsia"/>
        </w:rPr>
        <w:t>国家建筑节能规划总体目标与主要任务，确定沈阳市建筑节能及绿色建筑发展相适应的规划目标及重点任务。</w:t>
      </w:r>
    </w:p>
    <w:p w14:paraId="6BAE93C8">
      <w:pPr>
        <w:snapToGrid w:val="0"/>
        <w:spacing w:before="120" w:line="360" w:lineRule="auto"/>
      </w:pPr>
      <w:r>
        <w:rPr>
          <w:rFonts w:hint="eastAsia"/>
        </w:rPr>
        <w:t>三是开展</w:t>
      </w:r>
      <w:r>
        <w:t>“</w:t>
      </w:r>
      <w:r>
        <w:rPr>
          <w:rFonts w:hint="eastAsia"/>
        </w:rPr>
        <w:t>十四五</w:t>
      </w:r>
      <w:r>
        <w:t>”</w:t>
      </w:r>
      <w:r>
        <w:rPr>
          <w:rFonts w:hint="eastAsia"/>
        </w:rPr>
        <w:t>时期促进建筑绿色发展市场机制研究，对规划实施过程中存在的相关法律、政策、标准、技术、保障机制、市场机制、宣传机制以及目标责任机制等方面的问题和执行障碍进行总结、梳理和分析，提出能够有效破解发展障碍、适应新时代管理模式的保障措施建议。</w:t>
      </w:r>
      <w:r>
        <w:br w:type="page"/>
      </w:r>
    </w:p>
    <w:p w14:paraId="1CEAD410">
      <w:pPr>
        <w:pStyle w:val="2"/>
        <w:numPr>
          <w:ilvl w:val="0"/>
          <w:numId w:val="5"/>
        </w:numPr>
        <w:ind w:left="0" w:firstLine="0"/>
        <w:rPr>
          <w:rFonts w:ascii="黑体" w:hAnsi="黑体" w:eastAsia="黑体"/>
          <w:b w:val="0"/>
          <w:bCs w:val="0"/>
          <w:sz w:val="30"/>
          <w:szCs w:val="30"/>
        </w:rPr>
      </w:pPr>
      <w:bookmarkStart w:id="21" w:name="_Toc76743814"/>
      <w:r>
        <w:rPr>
          <w:rFonts w:hint="eastAsia" w:ascii="黑体" w:hAnsi="黑体" w:eastAsia="黑体"/>
          <w:b w:val="0"/>
          <w:bCs w:val="0"/>
          <w:sz w:val="30"/>
          <w:szCs w:val="30"/>
        </w:rPr>
        <w:t>研究思路</w:t>
      </w:r>
      <w:bookmarkEnd w:id="21"/>
    </w:p>
    <w:p w14:paraId="756ABC4F">
      <w:pPr>
        <w:snapToGrid w:val="0"/>
        <w:spacing w:before="120" w:line="360" w:lineRule="auto"/>
      </w:pPr>
      <w:bookmarkStart w:id="22" w:name="_Toc35612606"/>
      <w:bookmarkStart w:id="23" w:name="_Toc56951736"/>
    </w:p>
    <w:p w14:paraId="61934B86">
      <w:pPr>
        <w:snapToGrid w:val="0"/>
        <w:spacing w:before="120" w:line="360" w:lineRule="auto"/>
      </w:pPr>
      <w:r>
        <w:rPr>
          <w:rFonts w:hint="eastAsia"/>
        </w:rPr>
        <w:t>随着生活水平的不断提高</w:t>
      </w:r>
      <w:r>
        <w:t>,</w:t>
      </w:r>
      <w:r>
        <w:rPr>
          <w:rFonts w:hint="eastAsia"/>
        </w:rPr>
        <w:t>人们</w:t>
      </w:r>
      <w:r>
        <w:t>对居住环境的品质也提出了更高的要求,健康、舒适、节能、环保正在成为</w:t>
      </w:r>
      <w:r>
        <w:rPr>
          <w:rFonts w:hint="eastAsia"/>
        </w:rPr>
        <w:t>人们生活</w:t>
      </w:r>
      <w:r>
        <w:t>消费的新趋势。</w:t>
      </w:r>
      <w:r>
        <w:rPr>
          <w:rFonts w:hint="eastAsia"/>
        </w:rPr>
        <w:t>建筑在开发建设、运行管理和改造过程中，除了要考虑项目的整体功能策划定位、工程设计及施工质量安全控制之外</w:t>
      </w:r>
      <w:r>
        <w:t xml:space="preserve">, </w:t>
      </w:r>
      <w:r>
        <w:rPr>
          <w:rFonts w:hint="eastAsia"/>
        </w:rPr>
        <w:t>还</w:t>
      </w:r>
      <w:r>
        <w:t>应注重人居环境</w:t>
      </w:r>
      <w:r>
        <w:rPr>
          <w:rFonts w:hint="eastAsia"/>
        </w:rPr>
        <w:t>品质提升和绿色生活方式</w:t>
      </w:r>
      <w:r>
        <w:t>的探索和实践。</w:t>
      </w:r>
      <w:r>
        <w:rPr>
          <w:rFonts w:hint="eastAsia"/>
        </w:rPr>
        <w:t>未来</w:t>
      </w:r>
      <w:r>
        <w:t>的建筑</w:t>
      </w:r>
      <w:r>
        <w:rPr>
          <w:rFonts w:hint="eastAsia"/>
        </w:rPr>
        <w:t>将为</w:t>
      </w:r>
      <w:r>
        <w:t>人民大众</w:t>
      </w:r>
      <w:r>
        <w:rPr>
          <w:rFonts w:hint="eastAsia"/>
        </w:rPr>
        <w:t>提供更加优良的公共服务，更加优美的工作休闲空间，更加完善的建筑使用功能，</w:t>
      </w:r>
      <w:r>
        <w:t>更加突出“以人为本”的人居环境品质提升</w:t>
      </w:r>
      <w:r>
        <w:rPr>
          <w:rFonts w:hint="eastAsia"/>
        </w:rPr>
        <w:t>，</w:t>
      </w:r>
      <w:r>
        <w:t>过去的建筑</w:t>
      </w:r>
      <w:r>
        <w:rPr>
          <w:rFonts w:hint="eastAsia"/>
        </w:rPr>
        <w:t>节能与绿色建筑发展主要</w:t>
      </w:r>
      <w:r>
        <w:t>关注节能、节地、节水、节材</w:t>
      </w:r>
      <w:r>
        <w:rPr>
          <w:rFonts w:hint="eastAsia"/>
        </w:rPr>
        <w:t>及环境友好</w:t>
      </w:r>
      <w:r>
        <w:t xml:space="preserve">等, </w:t>
      </w:r>
      <w:r>
        <w:rPr>
          <w:rFonts w:hint="eastAsia"/>
        </w:rPr>
        <w:t>未来的建筑节能与绿色建筑发展以满足人民群众</w:t>
      </w:r>
      <w:r>
        <w:t>安全耐久、健康舒适、</w:t>
      </w:r>
      <w:r>
        <w:rPr>
          <w:rFonts w:hint="eastAsia"/>
        </w:rPr>
        <w:t>生活便利、资源节约、</w:t>
      </w:r>
      <w:r>
        <w:t>环境宜居等一系列</w:t>
      </w:r>
      <w:r>
        <w:rPr>
          <w:rFonts w:hint="eastAsia"/>
        </w:rPr>
        <w:t>“</w:t>
      </w:r>
      <w:r>
        <w:t>以人为本</w:t>
      </w:r>
      <w:r>
        <w:rPr>
          <w:rFonts w:hint="eastAsia"/>
        </w:rPr>
        <w:t>”</w:t>
      </w:r>
      <w:r>
        <w:t>的集成体验</w:t>
      </w:r>
      <w:r>
        <w:rPr>
          <w:rFonts w:hint="eastAsia"/>
        </w:rPr>
        <w:t>需求为工作基础。</w:t>
      </w:r>
      <w:r>
        <w:t>建筑</w:t>
      </w:r>
      <w:r>
        <w:rPr>
          <w:rFonts w:hint="eastAsia"/>
        </w:rPr>
        <w:t>节能与绿色建筑发展将</w:t>
      </w:r>
      <w:r>
        <w:t>不再是一种</w:t>
      </w:r>
      <w:r>
        <w:rPr>
          <w:rFonts w:hint="eastAsia"/>
        </w:rPr>
        <w:t>建设与管理</w:t>
      </w:r>
      <w:r>
        <w:t>方式, 更多的是一种</w:t>
      </w:r>
      <w:r>
        <w:rPr>
          <w:rFonts w:hint="eastAsia"/>
        </w:rPr>
        <w:t>适应人民群众绿色</w:t>
      </w:r>
      <w:r>
        <w:t>生活方式和生活文化</w:t>
      </w:r>
      <w:r>
        <w:rPr>
          <w:rFonts w:hint="eastAsia"/>
        </w:rPr>
        <w:t>的引导和营造</w:t>
      </w:r>
      <w:r>
        <w:t>。</w:t>
      </w:r>
      <w:r>
        <w:rPr>
          <w:rFonts w:hint="eastAsia"/>
        </w:rPr>
        <w:t>在对建筑实施规划、建设与管理过程中，应该把绿色理念贯穿之中，始终把满足人民对建筑完善的使用功能、良好的建筑品质和舒适的空间环境的需求作为根本的出发点和落脚点，不能以牺牲环境品质和使用功能来换取节能和绿色发展效益。</w:t>
      </w:r>
    </w:p>
    <w:p w14:paraId="0255E594">
      <w:pPr>
        <w:pStyle w:val="3"/>
        <w:ind w:left="0" w:firstLine="482"/>
        <w:rPr>
          <w:rFonts w:ascii="黑体" w:hAnsi="黑体" w:eastAsia="黑体"/>
        </w:rPr>
      </w:pPr>
      <w:bookmarkStart w:id="24" w:name="_Toc76743815"/>
      <w:r>
        <w:rPr>
          <w:rFonts w:ascii="黑体" w:hAnsi="黑体" w:eastAsia="黑体"/>
        </w:rPr>
        <w:t>贯彻新时代新形势下新思想新目标新要求</w:t>
      </w:r>
      <w:bookmarkEnd w:id="22"/>
      <w:bookmarkEnd w:id="23"/>
      <w:bookmarkEnd w:id="24"/>
    </w:p>
    <w:p w14:paraId="12113092">
      <w:pPr>
        <w:snapToGrid w:val="0"/>
        <w:spacing w:before="120" w:line="360" w:lineRule="auto"/>
      </w:pPr>
      <w:r>
        <w:rPr>
          <w:rFonts w:hint="eastAsia"/>
        </w:rPr>
        <w:t>党的十九大报告强调要坚持人与自然和谐共生，牢固树立社会主义生态文明观，推动形成人与自然和谐发展现代化建设新格局，坚持节约资源和保护环境的基本国策，像对待生命一样对待生态环境，推动形成绿色发展方式和生活方式，坚定走生产发展、生活富裕、生态良好的文明发展道路，建设美丽中国。推进能源生产和消费革命战略，构建清洁低碳、安全高效的现代用能体系。在研究规划方案过程中，要全面贯彻新时代新形势下的新思想新目标新要求，把住房城乡建设领域形成绿色发展方式和生活方式作为工作主线，以建筑节能和绿色建筑为重点，构建清洁低碳、安全高效能源资源消费体系，努力为人民群众提供环境更加优美、品质更加优良、功能更加完备的绿色居住产品和空间环境。</w:t>
      </w:r>
    </w:p>
    <w:p w14:paraId="596D04C9">
      <w:pPr>
        <w:pStyle w:val="3"/>
        <w:ind w:left="0" w:firstLine="482"/>
      </w:pPr>
      <w:bookmarkStart w:id="25" w:name="_Toc35612607"/>
      <w:bookmarkStart w:id="26" w:name="_Toc56951737"/>
      <w:bookmarkStart w:id="27" w:name="_Toc76743816"/>
      <w:r>
        <w:rPr>
          <w:rFonts w:ascii="黑体" w:hAnsi="黑体" w:eastAsia="黑体"/>
        </w:rPr>
        <w:t>注重行业规划与国家发展战略相衔接</w:t>
      </w:r>
      <w:bookmarkEnd w:id="25"/>
      <w:bookmarkEnd w:id="26"/>
      <w:bookmarkEnd w:id="27"/>
    </w:p>
    <w:p w14:paraId="36CA8A56">
      <w:pPr>
        <w:snapToGrid w:val="0"/>
        <w:spacing w:before="120" w:line="360" w:lineRule="auto"/>
      </w:pPr>
      <w:r>
        <w:rPr>
          <w:rFonts w:hint="eastAsia"/>
        </w:rPr>
        <w:t>党的十九大描绘了我国到</w:t>
      </w:r>
      <w:r>
        <w:t>2030</w:t>
      </w:r>
      <w:r>
        <w:rPr>
          <w:rFonts w:hint="eastAsia"/>
        </w:rPr>
        <w:t>年、</w:t>
      </w:r>
      <w:r>
        <w:t>2050</w:t>
      </w:r>
      <w:r>
        <w:rPr>
          <w:rFonts w:hint="eastAsia"/>
        </w:rPr>
        <w:t>年的总体发展蓝图。在能源消费及碳减排方面，</w:t>
      </w:r>
      <w:r>
        <w:t>2020</w:t>
      </w:r>
      <w:r>
        <w:rPr>
          <w:rFonts w:hint="eastAsia"/>
        </w:rPr>
        <w:t>年</w:t>
      </w:r>
      <w:r>
        <w:t>9</w:t>
      </w:r>
      <w:r>
        <w:rPr>
          <w:rFonts w:hint="eastAsia"/>
        </w:rPr>
        <w:t>月</w:t>
      </w:r>
      <w:r>
        <w:t>22</w:t>
      </w:r>
      <w:r>
        <w:rPr>
          <w:rFonts w:hint="eastAsia"/>
        </w:rPr>
        <w:t>日，习近平总书记在第七十五届联合国大会一般性辩论上发表重要讲话，向全世界郑重宣布，应对气候变化《巴黎协定》代表了全球绿色低碳转型的大方向，是保护地球家园需要采取的最低限度行动，各国必须迈出决定性步伐。中国将提高国家自主贡献力度，采取更加有力的政策和措施，二氧化碳排放力争于</w:t>
      </w:r>
      <w:r>
        <w:t>2030</w:t>
      </w:r>
      <w:r>
        <w:rPr>
          <w:rFonts w:hint="eastAsia"/>
        </w:rPr>
        <w:t>年前达到峰值，努力争取</w:t>
      </w:r>
      <w:r>
        <w:t>2060</w:t>
      </w:r>
      <w:r>
        <w:rPr>
          <w:rFonts w:hint="eastAsia"/>
        </w:rPr>
        <w:t>年前实现碳中和。国家发改委印发《能源生产和消费革命战略（</w:t>
      </w:r>
      <w:r>
        <w:t>2016-2030</w:t>
      </w:r>
      <w:r>
        <w:rPr>
          <w:rFonts w:hint="eastAsia"/>
        </w:rPr>
        <w:t>）》，提出到</w:t>
      </w:r>
      <w:r>
        <w:t xml:space="preserve">2030 </w:t>
      </w:r>
      <w:r>
        <w:rPr>
          <w:rFonts w:hint="eastAsia"/>
        </w:rPr>
        <w:t>年，我国能源消费总量控制在</w:t>
      </w:r>
      <w:r>
        <w:t xml:space="preserve"> 60 </w:t>
      </w:r>
      <w:r>
        <w:rPr>
          <w:rFonts w:hint="eastAsia"/>
        </w:rPr>
        <w:t>亿吨标准煤以内，非化石能源占能源消费总量比重达到</w:t>
      </w:r>
      <w:r>
        <w:t xml:space="preserve"> 20%</w:t>
      </w:r>
      <w:r>
        <w:rPr>
          <w:rFonts w:hint="eastAsia"/>
        </w:rPr>
        <w:t>左右，单位国内生产总值二氧化碳排放比</w:t>
      </w:r>
      <w:r>
        <w:t xml:space="preserve"> 2005 </w:t>
      </w:r>
      <w:r>
        <w:rPr>
          <w:rFonts w:hint="eastAsia"/>
        </w:rPr>
        <w:t>年下降</w:t>
      </w:r>
      <w:r>
        <w:t xml:space="preserve"> 60%</w:t>
      </w:r>
      <w:r>
        <w:rPr>
          <w:rFonts w:hint="eastAsia"/>
        </w:rPr>
        <w:t>－</w:t>
      </w:r>
      <w:r>
        <w:t>65%</w:t>
      </w:r>
      <w:r>
        <w:rPr>
          <w:rFonts w:hint="eastAsia"/>
        </w:rPr>
        <w:t>，二氧化碳排放</w:t>
      </w:r>
      <w:r>
        <w:t xml:space="preserve"> 2030 </w:t>
      </w:r>
      <w:r>
        <w:rPr>
          <w:rFonts w:hint="eastAsia"/>
        </w:rPr>
        <w:t>年左右达到峰值并争取尽早达峰，展望</w:t>
      </w:r>
      <w:r>
        <w:t xml:space="preserve"> 2050 </w:t>
      </w:r>
      <w:r>
        <w:rPr>
          <w:rFonts w:hint="eastAsia"/>
        </w:rPr>
        <w:t>年，能源消费总量基本稳定，非化石能源占比超过一半，建成能源文明消费型社会，能效水平、能源科技、能源装备达到世界先进水平。欧盟、美国、日本等均提出了到</w:t>
      </w:r>
      <w:r>
        <w:t>2030</w:t>
      </w:r>
      <w:r>
        <w:rPr>
          <w:rFonts w:hint="eastAsia"/>
        </w:rPr>
        <w:t>年以及展望到</w:t>
      </w:r>
      <w:r>
        <w:t>2050</w:t>
      </w:r>
      <w:r>
        <w:rPr>
          <w:rFonts w:hint="eastAsia"/>
        </w:rPr>
        <w:t>年的能源发展及应对气候变化目标。在研究规划方案过程中，注重</w:t>
      </w:r>
      <w:r>
        <w:t>“</w:t>
      </w:r>
      <w:r>
        <w:rPr>
          <w:rFonts w:hint="eastAsia"/>
        </w:rPr>
        <w:t>自上而下</w:t>
      </w:r>
      <w:r>
        <w:t>”</w:t>
      </w:r>
      <w:r>
        <w:rPr>
          <w:rFonts w:hint="eastAsia"/>
        </w:rPr>
        <w:t>，在国家已经划定的中长期战略目标框架下，去考量、分解建筑领域的能效提升、应对气候变化及绿色发展目标，与能源发展规划、节能减排规划、综合行动方案、温室气体控制规划、可再生能源应用规划等相协调。</w:t>
      </w:r>
    </w:p>
    <w:p w14:paraId="10A69CD1">
      <w:pPr>
        <w:snapToGrid w:val="0"/>
        <w:spacing w:before="120" w:line="360" w:lineRule="auto"/>
      </w:pPr>
      <w:r>
        <w:rPr>
          <w:rFonts w:hint="eastAsia"/>
        </w:rPr>
        <w:t>根据国务院《</w:t>
      </w:r>
      <w:r>
        <w:t>2030年前碳达峰行动方案</w:t>
      </w:r>
      <w:r>
        <w:rPr>
          <w:rFonts w:hint="eastAsia"/>
        </w:rPr>
        <w:t>》，要求在城乡建设领域加快推进城乡建设绿色低碳发展，城市更新和乡村振兴都要落实绿色低碳要求。</w:t>
      </w:r>
    </w:p>
    <w:p w14:paraId="4159E245">
      <w:pPr>
        <w:snapToGrid w:val="0"/>
        <w:spacing w:before="120" w:line="360" w:lineRule="auto"/>
      </w:pPr>
      <w:r>
        <w:t>1．推进城乡建设绿色低碳转型。推动城市组团式发展，科学确定建设规模，控制新增建设用地过快增长。倡导绿色低碳规划设计理念，增强城乡气候韧性，建设海绵城市。推广绿色低碳建材和绿色建造方式，加快推进新型建筑工业化，大力发展装配式建筑，推广钢结构住宅，推动建材循环利用，强化绿色设计和绿色施工管理。加强县城绿色低碳建设。推动建立以绿色低碳为导向的城乡规划建设管理机制，制定建筑拆除管理办法，杜绝大拆大建。建设绿色城镇、绿色社区。</w:t>
      </w:r>
    </w:p>
    <w:p w14:paraId="149AD905">
      <w:pPr>
        <w:snapToGrid w:val="0"/>
        <w:spacing w:before="120" w:line="360" w:lineRule="auto"/>
      </w:pPr>
      <w:r>
        <w:t>2．加快提升建筑能效水平。加快更新建筑节能、市政基础设施等标准，提高节能降碳要求。加强适用于不同气候区、不同建筑类型的节能低碳技术研发和推广，推动超低能耗建筑、低碳建筑规模化发展。加快推进居住建筑和公共建筑节能改造，持续推动老旧供热管网等市政基础设施节能降碳改造。提升城镇建筑和基础设施运行管理智能化水平，加快推广供热计量收费和合同能源管理，逐步开展公共建筑能耗限额管理。到2025年，城镇新建建筑全面执行绿色建筑标准。</w:t>
      </w:r>
    </w:p>
    <w:p w14:paraId="446DF75C">
      <w:pPr>
        <w:snapToGrid w:val="0"/>
        <w:spacing w:before="120" w:line="360" w:lineRule="auto"/>
      </w:pPr>
      <w:r>
        <w:t>3．加快优化建筑用能结构。深化可再生能源建筑应用，推广光伏发电与建筑一体化应用。积极推动严寒、寒冷地区清洁取暖，推进热电联产集中供暖，加快工业余热供暖规模化应用，积极稳妥开展核能供热示范，因地制宜推行热泵、生物质能、地热能、太阳能等清洁低碳供暖。引导夏热冬冷地区科学取暖，因地制宜采用清洁高效取暖方式。提高建筑终端电气化水平，建设集光伏发电、储能、直流配电、柔性用电于一体的“光储直柔”建筑。到2025年，城镇建筑可再生能源替代率达到8%，新建公共机构建筑、新建厂房屋顶光伏覆盖率力争达到50%。</w:t>
      </w:r>
    </w:p>
    <w:p w14:paraId="74D6A5B7">
      <w:pPr>
        <w:snapToGrid w:val="0"/>
        <w:spacing w:before="120" w:line="360" w:lineRule="auto"/>
      </w:pPr>
      <w:r>
        <w:t>4．推进农村建设和用能低碳转型。推进绿色农房建设，加快农房节能改造。持续推进农村地区清洁取暖，因地制宜选择适宜取暖方式。发展节能低碳农业大棚。推广节能环保灶具、电动农用车辆、节能环保农机和渔船。加快生物质能、太阳能等可再生能源在农业生产和农村生活中的应用。加强农村电网建设，提升农村用能电气化水平。</w:t>
      </w:r>
    </w:p>
    <w:p w14:paraId="0F8D825B">
      <w:pPr>
        <w:pStyle w:val="3"/>
        <w:ind w:left="0" w:firstLine="482"/>
        <w:rPr>
          <w:rFonts w:ascii="黑体" w:hAnsi="黑体" w:eastAsia="黑体"/>
        </w:rPr>
      </w:pPr>
      <w:bookmarkStart w:id="28" w:name="_Toc35612608"/>
      <w:bookmarkStart w:id="29" w:name="_Toc76743817"/>
      <w:bookmarkStart w:id="30" w:name="_Toc56951738"/>
      <w:r>
        <w:rPr>
          <w:rFonts w:ascii="黑体" w:hAnsi="黑体" w:eastAsia="黑体"/>
        </w:rPr>
        <w:t>确定建筑节能与绿色建筑规划基础条件</w:t>
      </w:r>
      <w:bookmarkEnd w:id="28"/>
      <w:bookmarkEnd w:id="29"/>
      <w:bookmarkEnd w:id="30"/>
    </w:p>
    <w:p w14:paraId="1DF4CC5A">
      <w:pPr>
        <w:snapToGrid w:val="0"/>
        <w:spacing w:before="120" w:line="360" w:lineRule="auto"/>
      </w:pPr>
      <w:r>
        <w:rPr>
          <w:rFonts w:hint="eastAsia"/>
        </w:rPr>
        <w:t>下一个规划期目标的制定需要对前期工作进行总结和梳理，对相关领域发展最新趋势进行研判。在研究规划方案过程中，通过调查问卷、专家访谈、会议研讨等形式</w:t>
      </w:r>
      <w:r>
        <w:t>，对“十三五”</w:t>
      </w:r>
      <w:r>
        <w:rPr>
          <w:rFonts w:hint="eastAsia"/>
        </w:rPr>
        <w:t>规划完成情况进行全面评估，包括各地规划目标总体完成情况、绿色建筑发展、新建建筑能效提升、既有建筑节能改造、可再生能源应用等重点领域工作措施落实情况，行政法规、政策配套、技术标准、产业升级等，对相关数据进行统计和分析，明确规划方案制定基础。</w:t>
      </w:r>
    </w:p>
    <w:p w14:paraId="4506A65F">
      <w:pPr>
        <w:pStyle w:val="3"/>
        <w:ind w:left="0" w:firstLine="482"/>
        <w:rPr>
          <w:rFonts w:ascii="黑体" w:hAnsi="黑体" w:eastAsia="黑体"/>
        </w:rPr>
      </w:pPr>
      <w:bookmarkStart w:id="31" w:name="_Toc56951739"/>
      <w:bookmarkStart w:id="32" w:name="_Toc35612609"/>
      <w:bookmarkStart w:id="33" w:name="_Toc76743818"/>
      <w:r>
        <w:rPr>
          <w:rFonts w:ascii="黑体" w:hAnsi="黑体" w:eastAsia="黑体"/>
        </w:rPr>
        <w:t>把握建筑节能与绿色建筑最新发展脉络</w:t>
      </w:r>
      <w:bookmarkEnd w:id="31"/>
      <w:bookmarkEnd w:id="32"/>
      <w:bookmarkEnd w:id="33"/>
    </w:p>
    <w:p w14:paraId="694712FB">
      <w:pPr>
        <w:snapToGrid w:val="0"/>
        <w:spacing w:before="120" w:line="360" w:lineRule="auto"/>
      </w:pPr>
      <w:r>
        <w:rPr>
          <w:rFonts w:hint="eastAsia"/>
        </w:rPr>
        <w:t>在研究过程中，注重把握国内外在绿色生态城区、零碳社区、超低能耗、近零能耗建筑及零能耗建筑、清洁能源应用及建筑电气化、城市更新与老旧小区改造、能源互联网等最新发展趋势，提炼发展创新要素，在此基础上进行规划目标及工作措施的设定，才能使规划方案更具适应性、创新性和突破性，明确建筑节能与绿色建筑的发展形势，从而更好地把握建筑节能与绿色建筑规划方案制定的重点内容。</w:t>
      </w:r>
    </w:p>
    <w:p w14:paraId="3D47C1A7">
      <w:pPr>
        <w:pStyle w:val="3"/>
        <w:ind w:left="0" w:firstLine="482"/>
        <w:rPr>
          <w:rFonts w:ascii="黑体" w:hAnsi="黑体" w:eastAsia="黑体"/>
        </w:rPr>
      </w:pPr>
      <w:bookmarkStart w:id="34" w:name="_Toc76743819"/>
      <w:bookmarkStart w:id="35" w:name="_Toc56951740"/>
      <w:bookmarkStart w:id="36" w:name="_Toc35612610"/>
      <w:r>
        <w:rPr>
          <w:rFonts w:ascii="黑体" w:hAnsi="黑体" w:eastAsia="黑体"/>
        </w:rPr>
        <w:t>打造建筑节能与绿色建筑规划研究范式</w:t>
      </w:r>
      <w:bookmarkEnd w:id="34"/>
      <w:bookmarkEnd w:id="35"/>
      <w:bookmarkEnd w:id="36"/>
    </w:p>
    <w:p w14:paraId="5B741728">
      <w:pPr>
        <w:snapToGrid w:val="0"/>
        <w:spacing w:before="120" w:line="360" w:lineRule="auto"/>
      </w:pPr>
      <w:r>
        <w:rPr>
          <w:rFonts w:hint="eastAsia"/>
        </w:rPr>
        <w:t>在总结学习国内外先进方法学基础上，确立建筑节能与绿色建筑规划研究方法，形成基</w:t>
      </w:r>
      <w:r>
        <w:t>于“人-建筑-能源-环境”多要</w:t>
      </w:r>
      <w:r>
        <w:rPr>
          <w:rFonts w:hint="eastAsia"/>
        </w:rPr>
        <w:t>素协调发展的研究框架，构建宏观指标影响分析、用能需求趋势分析、技术经济产业评价、政策规划后评估等方法模型，逐步理清建筑节能与绿色建筑发展的关键性问题，明确给出在国家生态文明建设、能源生产和消费革命进程中的建筑节能与绿色建筑发展总体战略，采用定性与定量相结合的研究方法，对面向</w:t>
      </w:r>
      <w:r>
        <w:t>2025</w:t>
      </w:r>
      <w:r>
        <w:rPr>
          <w:rFonts w:hint="eastAsia"/>
        </w:rPr>
        <w:t>的建筑节能与绿色建筑目标进行多情景模拟，遴选出最优发展路径，进而凝练出发展的指导思想、基本原则、发展目标和主要任务。在此基础上，通过多层次、多视角的问卷调查，运用数理统计分析方法，对</w:t>
      </w:r>
      <w:r>
        <w:t>“</w:t>
      </w:r>
      <w:r>
        <w:rPr>
          <w:rFonts w:hint="eastAsia"/>
        </w:rPr>
        <w:t>十三五</w:t>
      </w:r>
      <w:r>
        <w:t>”</w:t>
      </w:r>
      <w:r>
        <w:rPr>
          <w:rFonts w:hint="eastAsia"/>
        </w:rPr>
        <w:t>规划目标与任务完成情况、实施障碍与经验进行总结评估，对</w:t>
      </w:r>
      <w:r>
        <w:t>“</w:t>
      </w:r>
      <w:r>
        <w:rPr>
          <w:rFonts w:hint="eastAsia"/>
        </w:rPr>
        <w:t>十四五</w:t>
      </w:r>
      <w:r>
        <w:t>”</w:t>
      </w:r>
      <w:r>
        <w:rPr>
          <w:rFonts w:hint="eastAsia"/>
        </w:rPr>
        <w:t>规划目标、任务和保障措施进行预测判断。</w:t>
      </w:r>
    </w:p>
    <w:p w14:paraId="2756F54A">
      <w:r>
        <w:br w:type="page"/>
      </w:r>
    </w:p>
    <w:p w14:paraId="3ED652EF">
      <w:pPr>
        <w:pStyle w:val="2"/>
        <w:numPr>
          <w:ilvl w:val="0"/>
          <w:numId w:val="5"/>
        </w:numPr>
        <w:ind w:left="0" w:firstLine="0"/>
        <w:rPr>
          <w:rFonts w:ascii="黑体" w:hAnsi="黑体" w:eastAsia="黑体"/>
          <w:b w:val="0"/>
          <w:bCs w:val="0"/>
          <w:sz w:val="30"/>
          <w:szCs w:val="30"/>
        </w:rPr>
      </w:pPr>
      <w:r>
        <w:rPr>
          <w:rFonts w:hint="eastAsia" w:ascii="黑体" w:hAnsi="黑体" w:eastAsia="黑体"/>
          <w:b w:val="0"/>
          <w:bCs w:val="0"/>
          <w:sz w:val="30"/>
          <w:szCs w:val="30"/>
        </w:rPr>
        <w:t>“十三五”时期建筑节能与绿色建筑工作评估</w:t>
      </w:r>
    </w:p>
    <w:p w14:paraId="07C02DC9">
      <w:pPr>
        <w:snapToGrid w:val="0"/>
        <w:spacing w:before="120" w:line="360" w:lineRule="auto"/>
        <w:rPr>
          <w:rFonts w:ascii="黑体" w:hAnsi="黑体" w:eastAsia="黑体"/>
        </w:rPr>
      </w:pPr>
    </w:p>
    <w:p w14:paraId="2C40AF3D">
      <w:pPr>
        <w:pStyle w:val="3"/>
        <w:ind w:left="0" w:firstLine="482"/>
        <w:rPr>
          <w:rFonts w:ascii="黑体" w:hAnsi="黑体" w:eastAsia="黑体"/>
        </w:rPr>
      </w:pPr>
      <w:r>
        <w:rPr>
          <w:rFonts w:hint="eastAsia" w:ascii="黑体" w:hAnsi="黑体" w:eastAsia="黑体"/>
        </w:rPr>
        <w:t>全国“十三五”时期建筑节能与绿色建筑发展</w:t>
      </w:r>
    </w:p>
    <w:p w14:paraId="52FD20B6">
      <w:pPr>
        <w:pStyle w:val="4"/>
        <w:numPr>
          <w:ilvl w:val="2"/>
          <w:numId w:val="8"/>
        </w:numPr>
        <w:spacing w:before="0" w:beforeLines="0"/>
      </w:pPr>
      <w:r>
        <w:rPr>
          <w:rFonts w:hint="eastAsia" w:ascii="楷体" w:hAnsi="楷体" w:eastAsia="楷体"/>
          <w:b w:val="0"/>
          <w:bCs/>
          <w:sz w:val="28"/>
          <w:szCs w:val="28"/>
        </w:rPr>
        <w:t>建筑节能与绿色建筑规划主要发展指标实现情况</w:t>
      </w:r>
    </w:p>
    <w:p w14:paraId="11FEF297">
      <w:pPr>
        <w:snapToGrid w:val="0"/>
        <w:spacing w:before="120" w:line="360" w:lineRule="auto"/>
      </w:pPr>
      <w:r>
        <w:rPr>
          <w:rFonts w:hint="eastAsia"/>
        </w:rPr>
        <w:t>“十三五”规划提出了建筑节能与绿色建筑10项主要发展指标，其中4项为约束性指标，均来自党中央、国务院有关文件要求，其余指标为具有引导性的预期性指标。</w:t>
      </w:r>
    </w:p>
    <w:p w14:paraId="45C22491">
      <w:pPr>
        <w:rPr>
          <w:szCs w:val="21"/>
        </w:rPr>
      </w:pPr>
      <w:r>
        <w:t>表3-</w:t>
      </w:r>
      <w:r>
        <w:fldChar w:fldCharType="begin"/>
      </w:r>
      <w:r>
        <w:instrText xml:space="preserve"> SEQ 表3- \* ARABIC </w:instrText>
      </w:r>
      <w:r>
        <w:fldChar w:fldCharType="separate"/>
      </w:r>
      <w:r>
        <w:t>1</w:t>
      </w:r>
      <w:r>
        <w:fldChar w:fldCharType="end"/>
      </w:r>
      <w:r>
        <w:rPr>
          <w:rFonts w:hint="eastAsia"/>
          <w:szCs w:val="21"/>
        </w:rPr>
        <w:t xml:space="preserve"> “十三五”时期建筑节能和绿色建筑主要发展指标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1444"/>
        <w:gridCol w:w="1391"/>
        <w:gridCol w:w="930"/>
      </w:tblGrid>
      <w:tr w14:paraId="79A1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1" w:type="dxa"/>
            <w:shd w:val="clear" w:color="auto" w:fill="auto"/>
            <w:vAlign w:val="center"/>
          </w:tcPr>
          <w:p w14:paraId="584F22B4">
            <w:pPr>
              <w:pStyle w:val="40"/>
            </w:pPr>
            <w:r>
              <w:t>指标</w:t>
            </w:r>
          </w:p>
        </w:tc>
        <w:tc>
          <w:tcPr>
            <w:tcW w:w="1444" w:type="dxa"/>
            <w:shd w:val="clear" w:color="auto" w:fill="auto"/>
            <w:vAlign w:val="center"/>
          </w:tcPr>
          <w:p w14:paraId="4083E9B2">
            <w:pPr>
              <w:pStyle w:val="40"/>
            </w:pPr>
            <w:r>
              <w:t>2015年基线</w:t>
            </w:r>
          </w:p>
        </w:tc>
        <w:tc>
          <w:tcPr>
            <w:tcW w:w="1391" w:type="dxa"/>
            <w:shd w:val="clear" w:color="auto" w:fill="auto"/>
            <w:vAlign w:val="center"/>
          </w:tcPr>
          <w:p w14:paraId="0E957994">
            <w:pPr>
              <w:pStyle w:val="40"/>
            </w:pPr>
            <w:r>
              <w:t>2020年目标</w:t>
            </w:r>
          </w:p>
        </w:tc>
        <w:tc>
          <w:tcPr>
            <w:tcW w:w="930" w:type="dxa"/>
            <w:shd w:val="clear" w:color="auto" w:fill="auto"/>
            <w:vAlign w:val="center"/>
          </w:tcPr>
          <w:p w14:paraId="1B8586D1">
            <w:pPr>
              <w:pStyle w:val="40"/>
            </w:pPr>
            <w:r>
              <w:t>性质</w:t>
            </w:r>
          </w:p>
        </w:tc>
      </w:tr>
      <w:tr w14:paraId="7CE0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1" w:type="dxa"/>
            <w:shd w:val="clear" w:color="auto" w:fill="auto"/>
            <w:vAlign w:val="center"/>
          </w:tcPr>
          <w:p w14:paraId="0BBE10A9">
            <w:pPr>
              <w:pStyle w:val="40"/>
            </w:pPr>
            <w:r>
              <w:t>城镇新建建筑能效提升（%）</w:t>
            </w:r>
          </w:p>
        </w:tc>
        <w:tc>
          <w:tcPr>
            <w:tcW w:w="1444" w:type="dxa"/>
            <w:shd w:val="clear" w:color="auto" w:fill="auto"/>
            <w:vAlign w:val="center"/>
          </w:tcPr>
          <w:p w14:paraId="28E5401C">
            <w:pPr>
              <w:pStyle w:val="40"/>
            </w:pPr>
            <w:r>
              <w:t>--</w:t>
            </w:r>
          </w:p>
        </w:tc>
        <w:tc>
          <w:tcPr>
            <w:tcW w:w="1391" w:type="dxa"/>
            <w:shd w:val="clear" w:color="auto" w:fill="auto"/>
            <w:vAlign w:val="center"/>
          </w:tcPr>
          <w:p w14:paraId="4EA846B4">
            <w:pPr>
              <w:pStyle w:val="40"/>
            </w:pPr>
            <w:r>
              <w:t>20</w:t>
            </w:r>
          </w:p>
        </w:tc>
        <w:tc>
          <w:tcPr>
            <w:tcW w:w="930" w:type="dxa"/>
            <w:shd w:val="clear" w:color="auto" w:fill="auto"/>
            <w:vAlign w:val="center"/>
          </w:tcPr>
          <w:p w14:paraId="192C9176">
            <w:pPr>
              <w:pStyle w:val="40"/>
            </w:pPr>
            <w:r>
              <w:t>约束性</w:t>
            </w:r>
          </w:p>
        </w:tc>
      </w:tr>
      <w:tr w14:paraId="6402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1" w:type="dxa"/>
            <w:shd w:val="clear" w:color="auto" w:fill="auto"/>
            <w:vAlign w:val="center"/>
          </w:tcPr>
          <w:p w14:paraId="2D2C54FD">
            <w:pPr>
              <w:pStyle w:val="40"/>
            </w:pPr>
            <w:r>
              <w:t>城镇绿色建筑占新建建筑比重（%）</w:t>
            </w:r>
          </w:p>
        </w:tc>
        <w:tc>
          <w:tcPr>
            <w:tcW w:w="1444" w:type="dxa"/>
            <w:shd w:val="clear" w:color="auto" w:fill="auto"/>
            <w:vAlign w:val="center"/>
          </w:tcPr>
          <w:p w14:paraId="39117180">
            <w:pPr>
              <w:pStyle w:val="40"/>
            </w:pPr>
            <w:r>
              <w:t>20</w:t>
            </w:r>
          </w:p>
        </w:tc>
        <w:tc>
          <w:tcPr>
            <w:tcW w:w="1391" w:type="dxa"/>
            <w:shd w:val="clear" w:color="auto" w:fill="auto"/>
            <w:vAlign w:val="center"/>
          </w:tcPr>
          <w:p w14:paraId="575F6C19">
            <w:pPr>
              <w:pStyle w:val="40"/>
            </w:pPr>
            <w:r>
              <w:t>50</w:t>
            </w:r>
          </w:p>
        </w:tc>
        <w:tc>
          <w:tcPr>
            <w:tcW w:w="930" w:type="dxa"/>
            <w:shd w:val="clear" w:color="auto" w:fill="auto"/>
            <w:vAlign w:val="center"/>
          </w:tcPr>
          <w:p w14:paraId="7C814FA2">
            <w:pPr>
              <w:pStyle w:val="40"/>
            </w:pPr>
            <w:r>
              <w:t>约束性</w:t>
            </w:r>
          </w:p>
        </w:tc>
      </w:tr>
      <w:tr w14:paraId="4AB8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1" w:type="dxa"/>
            <w:shd w:val="clear" w:color="auto" w:fill="auto"/>
            <w:vAlign w:val="center"/>
          </w:tcPr>
          <w:p w14:paraId="0096B7FC">
            <w:pPr>
              <w:pStyle w:val="40"/>
            </w:pPr>
            <w:r>
              <w:t>城镇新建建筑中绿色建材应用比例（%）</w:t>
            </w:r>
          </w:p>
        </w:tc>
        <w:tc>
          <w:tcPr>
            <w:tcW w:w="1444" w:type="dxa"/>
            <w:shd w:val="clear" w:color="auto" w:fill="auto"/>
            <w:vAlign w:val="center"/>
          </w:tcPr>
          <w:p w14:paraId="5818323D">
            <w:pPr>
              <w:pStyle w:val="40"/>
            </w:pPr>
            <w:r>
              <w:t>--</w:t>
            </w:r>
          </w:p>
        </w:tc>
        <w:tc>
          <w:tcPr>
            <w:tcW w:w="1391" w:type="dxa"/>
            <w:shd w:val="clear" w:color="auto" w:fill="auto"/>
            <w:vAlign w:val="center"/>
          </w:tcPr>
          <w:p w14:paraId="40B1256E">
            <w:pPr>
              <w:pStyle w:val="40"/>
            </w:pPr>
            <w:r>
              <w:t>40</w:t>
            </w:r>
          </w:p>
        </w:tc>
        <w:tc>
          <w:tcPr>
            <w:tcW w:w="930" w:type="dxa"/>
            <w:shd w:val="clear" w:color="auto" w:fill="auto"/>
            <w:vAlign w:val="center"/>
          </w:tcPr>
          <w:p w14:paraId="3ECBE539">
            <w:pPr>
              <w:pStyle w:val="40"/>
            </w:pPr>
            <w:r>
              <w:t>预期性</w:t>
            </w:r>
          </w:p>
        </w:tc>
      </w:tr>
      <w:tr w14:paraId="51B5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1" w:type="dxa"/>
            <w:shd w:val="clear" w:color="auto" w:fill="auto"/>
            <w:vAlign w:val="center"/>
          </w:tcPr>
          <w:p w14:paraId="07765877">
            <w:pPr>
              <w:pStyle w:val="40"/>
            </w:pPr>
            <w:r>
              <w:t>实施既有居住建筑节能改造（亿平方米）</w:t>
            </w:r>
          </w:p>
        </w:tc>
        <w:tc>
          <w:tcPr>
            <w:tcW w:w="1444" w:type="dxa"/>
            <w:shd w:val="clear" w:color="auto" w:fill="auto"/>
            <w:vAlign w:val="center"/>
          </w:tcPr>
          <w:p w14:paraId="06E2B855">
            <w:pPr>
              <w:pStyle w:val="40"/>
            </w:pPr>
            <w:r>
              <w:t>--</w:t>
            </w:r>
          </w:p>
        </w:tc>
        <w:tc>
          <w:tcPr>
            <w:tcW w:w="1391" w:type="dxa"/>
            <w:shd w:val="clear" w:color="auto" w:fill="auto"/>
            <w:vAlign w:val="center"/>
          </w:tcPr>
          <w:p w14:paraId="33ACDED2">
            <w:pPr>
              <w:pStyle w:val="40"/>
            </w:pPr>
            <w:r>
              <w:t>5</w:t>
            </w:r>
          </w:p>
        </w:tc>
        <w:tc>
          <w:tcPr>
            <w:tcW w:w="930" w:type="dxa"/>
            <w:shd w:val="clear" w:color="auto" w:fill="auto"/>
            <w:vAlign w:val="center"/>
          </w:tcPr>
          <w:p w14:paraId="40B714CE">
            <w:pPr>
              <w:pStyle w:val="40"/>
            </w:pPr>
            <w:r>
              <w:t>约束性</w:t>
            </w:r>
          </w:p>
        </w:tc>
      </w:tr>
      <w:tr w14:paraId="6079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1" w:type="dxa"/>
            <w:shd w:val="clear" w:color="auto" w:fill="auto"/>
            <w:vAlign w:val="center"/>
          </w:tcPr>
          <w:p w14:paraId="5B4E332A">
            <w:pPr>
              <w:pStyle w:val="40"/>
            </w:pPr>
            <w:r>
              <w:t>公共建筑节能改造面积（亿平方米）</w:t>
            </w:r>
          </w:p>
        </w:tc>
        <w:tc>
          <w:tcPr>
            <w:tcW w:w="1444" w:type="dxa"/>
            <w:shd w:val="clear" w:color="auto" w:fill="auto"/>
            <w:vAlign w:val="center"/>
          </w:tcPr>
          <w:p w14:paraId="6F73C2A8">
            <w:pPr>
              <w:pStyle w:val="40"/>
            </w:pPr>
            <w:r>
              <w:t>--</w:t>
            </w:r>
          </w:p>
        </w:tc>
        <w:tc>
          <w:tcPr>
            <w:tcW w:w="1391" w:type="dxa"/>
            <w:shd w:val="clear" w:color="auto" w:fill="auto"/>
            <w:vAlign w:val="center"/>
          </w:tcPr>
          <w:p w14:paraId="482C9348">
            <w:pPr>
              <w:pStyle w:val="40"/>
            </w:pPr>
            <w:r>
              <w:t>1</w:t>
            </w:r>
          </w:p>
        </w:tc>
        <w:tc>
          <w:tcPr>
            <w:tcW w:w="930" w:type="dxa"/>
            <w:shd w:val="clear" w:color="auto" w:fill="auto"/>
            <w:vAlign w:val="center"/>
          </w:tcPr>
          <w:p w14:paraId="2337CFA4">
            <w:pPr>
              <w:pStyle w:val="40"/>
            </w:pPr>
            <w:r>
              <w:t>约束性</w:t>
            </w:r>
          </w:p>
        </w:tc>
      </w:tr>
      <w:tr w14:paraId="49B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1" w:type="dxa"/>
            <w:shd w:val="clear" w:color="auto" w:fill="auto"/>
            <w:vAlign w:val="center"/>
          </w:tcPr>
          <w:p w14:paraId="1B7F9FE0">
            <w:pPr>
              <w:pStyle w:val="40"/>
            </w:pPr>
            <w:r>
              <w:t>北方城镇居住建筑单位面积平均采暖能耗强度下降比例（%）</w:t>
            </w:r>
          </w:p>
        </w:tc>
        <w:tc>
          <w:tcPr>
            <w:tcW w:w="1444" w:type="dxa"/>
            <w:shd w:val="clear" w:color="auto" w:fill="auto"/>
            <w:vAlign w:val="center"/>
          </w:tcPr>
          <w:p w14:paraId="314B3AB0">
            <w:pPr>
              <w:pStyle w:val="40"/>
            </w:pPr>
            <w:r>
              <w:t>--</w:t>
            </w:r>
          </w:p>
        </w:tc>
        <w:tc>
          <w:tcPr>
            <w:tcW w:w="1391" w:type="dxa"/>
            <w:shd w:val="clear" w:color="auto" w:fill="auto"/>
            <w:vAlign w:val="center"/>
          </w:tcPr>
          <w:p w14:paraId="2C69B209">
            <w:pPr>
              <w:pStyle w:val="40"/>
            </w:pPr>
            <w:r>
              <w:t>15</w:t>
            </w:r>
          </w:p>
        </w:tc>
        <w:tc>
          <w:tcPr>
            <w:tcW w:w="930" w:type="dxa"/>
            <w:shd w:val="clear" w:color="auto" w:fill="auto"/>
            <w:vAlign w:val="center"/>
          </w:tcPr>
          <w:p w14:paraId="2BAF8F0F">
            <w:pPr>
              <w:pStyle w:val="40"/>
            </w:pPr>
            <w:r>
              <w:t>预期性</w:t>
            </w:r>
          </w:p>
        </w:tc>
      </w:tr>
      <w:tr w14:paraId="3751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1" w:type="dxa"/>
            <w:shd w:val="clear" w:color="auto" w:fill="auto"/>
            <w:vAlign w:val="center"/>
          </w:tcPr>
          <w:p w14:paraId="7C5899D2">
            <w:pPr>
              <w:pStyle w:val="40"/>
            </w:pPr>
            <w:r>
              <w:t>城镇既有公共建筑能耗强度下降比例（%）</w:t>
            </w:r>
          </w:p>
        </w:tc>
        <w:tc>
          <w:tcPr>
            <w:tcW w:w="1444" w:type="dxa"/>
            <w:shd w:val="clear" w:color="auto" w:fill="auto"/>
            <w:vAlign w:val="center"/>
          </w:tcPr>
          <w:p w14:paraId="319E12D2">
            <w:pPr>
              <w:pStyle w:val="40"/>
            </w:pPr>
            <w:r>
              <w:t>--</w:t>
            </w:r>
          </w:p>
        </w:tc>
        <w:tc>
          <w:tcPr>
            <w:tcW w:w="1391" w:type="dxa"/>
            <w:shd w:val="clear" w:color="auto" w:fill="auto"/>
            <w:vAlign w:val="center"/>
          </w:tcPr>
          <w:p w14:paraId="000CE0D2">
            <w:pPr>
              <w:pStyle w:val="40"/>
            </w:pPr>
            <w:r>
              <w:t>5</w:t>
            </w:r>
          </w:p>
        </w:tc>
        <w:tc>
          <w:tcPr>
            <w:tcW w:w="930" w:type="dxa"/>
            <w:shd w:val="clear" w:color="auto" w:fill="auto"/>
            <w:vAlign w:val="center"/>
          </w:tcPr>
          <w:p w14:paraId="4E0438D2">
            <w:pPr>
              <w:pStyle w:val="40"/>
            </w:pPr>
            <w:r>
              <w:t>预期性</w:t>
            </w:r>
          </w:p>
        </w:tc>
      </w:tr>
      <w:tr w14:paraId="6355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1" w:type="dxa"/>
            <w:shd w:val="clear" w:color="auto" w:fill="auto"/>
            <w:vAlign w:val="center"/>
          </w:tcPr>
          <w:p w14:paraId="5F535E61">
            <w:pPr>
              <w:pStyle w:val="40"/>
            </w:pPr>
            <w:r>
              <w:t>城镇建筑中可再生能源替代率（%）</w:t>
            </w:r>
          </w:p>
        </w:tc>
        <w:tc>
          <w:tcPr>
            <w:tcW w:w="1444" w:type="dxa"/>
            <w:shd w:val="clear" w:color="auto" w:fill="auto"/>
            <w:vAlign w:val="center"/>
          </w:tcPr>
          <w:p w14:paraId="00057C3D">
            <w:pPr>
              <w:pStyle w:val="40"/>
            </w:pPr>
            <w:r>
              <w:t>4</w:t>
            </w:r>
          </w:p>
        </w:tc>
        <w:tc>
          <w:tcPr>
            <w:tcW w:w="1391" w:type="dxa"/>
            <w:shd w:val="clear" w:color="auto" w:fill="auto"/>
            <w:vAlign w:val="center"/>
          </w:tcPr>
          <w:p w14:paraId="05D0901C">
            <w:pPr>
              <w:pStyle w:val="40"/>
            </w:pPr>
            <w:r>
              <w:t>6</w:t>
            </w:r>
          </w:p>
        </w:tc>
        <w:tc>
          <w:tcPr>
            <w:tcW w:w="930" w:type="dxa"/>
            <w:shd w:val="clear" w:color="auto" w:fill="auto"/>
            <w:vAlign w:val="center"/>
          </w:tcPr>
          <w:p w14:paraId="2495C1AD">
            <w:pPr>
              <w:pStyle w:val="40"/>
            </w:pPr>
            <w:r>
              <w:t>预期性</w:t>
            </w:r>
          </w:p>
        </w:tc>
      </w:tr>
      <w:tr w14:paraId="1042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1" w:type="dxa"/>
            <w:shd w:val="clear" w:color="auto" w:fill="auto"/>
            <w:vAlign w:val="center"/>
          </w:tcPr>
          <w:p w14:paraId="529D623E">
            <w:pPr>
              <w:pStyle w:val="40"/>
            </w:pPr>
            <w:r>
              <w:t>城镇既有居住建筑中节能建筑所占比例（%）</w:t>
            </w:r>
          </w:p>
        </w:tc>
        <w:tc>
          <w:tcPr>
            <w:tcW w:w="1444" w:type="dxa"/>
            <w:shd w:val="clear" w:color="auto" w:fill="auto"/>
            <w:vAlign w:val="center"/>
          </w:tcPr>
          <w:p w14:paraId="2497F136">
            <w:pPr>
              <w:pStyle w:val="40"/>
            </w:pPr>
            <w:r>
              <w:t>40</w:t>
            </w:r>
          </w:p>
        </w:tc>
        <w:tc>
          <w:tcPr>
            <w:tcW w:w="1391" w:type="dxa"/>
            <w:shd w:val="clear" w:color="auto" w:fill="auto"/>
            <w:vAlign w:val="center"/>
          </w:tcPr>
          <w:p w14:paraId="6D07CC1A">
            <w:pPr>
              <w:pStyle w:val="40"/>
            </w:pPr>
            <w:r>
              <w:t>60</w:t>
            </w:r>
          </w:p>
        </w:tc>
        <w:tc>
          <w:tcPr>
            <w:tcW w:w="930" w:type="dxa"/>
            <w:shd w:val="clear" w:color="auto" w:fill="auto"/>
            <w:vAlign w:val="center"/>
          </w:tcPr>
          <w:p w14:paraId="0E828DA7">
            <w:pPr>
              <w:pStyle w:val="40"/>
            </w:pPr>
            <w:r>
              <w:t>预期值</w:t>
            </w:r>
          </w:p>
        </w:tc>
      </w:tr>
      <w:tr w14:paraId="062C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1" w:type="dxa"/>
            <w:shd w:val="clear" w:color="auto" w:fill="auto"/>
            <w:vAlign w:val="center"/>
          </w:tcPr>
          <w:p w14:paraId="1FF3380A">
            <w:pPr>
              <w:pStyle w:val="40"/>
            </w:pPr>
            <w:r>
              <w:t>经济发达地区及重点发展区域农村居住建筑</w:t>
            </w:r>
          </w:p>
          <w:p w14:paraId="7C55B6FF">
            <w:pPr>
              <w:pStyle w:val="40"/>
            </w:pPr>
            <w:r>
              <w:t>采用节能措施比例（%）</w:t>
            </w:r>
          </w:p>
        </w:tc>
        <w:tc>
          <w:tcPr>
            <w:tcW w:w="1444" w:type="dxa"/>
            <w:shd w:val="clear" w:color="auto" w:fill="auto"/>
            <w:vAlign w:val="center"/>
          </w:tcPr>
          <w:p w14:paraId="57D108D2">
            <w:pPr>
              <w:pStyle w:val="40"/>
            </w:pPr>
            <w:r>
              <w:t>--</w:t>
            </w:r>
          </w:p>
        </w:tc>
        <w:tc>
          <w:tcPr>
            <w:tcW w:w="1391" w:type="dxa"/>
            <w:shd w:val="clear" w:color="auto" w:fill="auto"/>
            <w:vAlign w:val="center"/>
          </w:tcPr>
          <w:p w14:paraId="15D9776B">
            <w:pPr>
              <w:pStyle w:val="40"/>
            </w:pPr>
            <w:r>
              <w:t>10</w:t>
            </w:r>
          </w:p>
        </w:tc>
        <w:tc>
          <w:tcPr>
            <w:tcW w:w="930" w:type="dxa"/>
            <w:shd w:val="clear" w:color="auto" w:fill="auto"/>
            <w:vAlign w:val="center"/>
          </w:tcPr>
          <w:p w14:paraId="46B64C8A">
            <w:pPr>
              <w:pStyle w:val="40"/>
            </w:pPr>
            <w:r>
              <w:t>预期值</w:t>
            </w:r>
          </w:p>
        </w:tc>
      </w:tr>
    </w:tbl>
    <w:p w14:paraId="0D608B06">
      <w:pPr>
        <w:snapToGrid w:val="0"/>
        <w:spacing w:before="120" w:line="360" w:lineRule="auto"/>
        <w:ind w:firstLine="560"/>
        <w:rPr>
          <w:rFonts w:ascii="楷体" w:hAnsi="楷体" w:eastAsia="楷体"/>
          <w:bCs/>
          <w:sz w:val="28"/>
          <w:szCs w:val="28"/>
        </w:rPr>
      </w:pPr>
    </w:p>
    <w:p w14:paraId="00EDE777">
      <w:pPr>
        <w:pStyle w:val="4"/>
        <w:numPr>
          <w:ilvl w:val="2"/>
          <w:numId w:val="8"/>
        </w:numPr>
        <w:spacing w:before="0" w:beforeLines="0"/>
        <w:rPr>
          <w:rFonts w:ascii="楷体" w:hAnsi="楷体" w:eastAsia="楷体"/>
          <w:b w:val="0"/>
          <w:bCs/>
          <w:sz w:val="28"/>
          <w:szCs w:val="28"/>
        </w:rPr>
      </w:pPr>
      <w:r>
        <w:rPr>
          <w:rFonts w:ascii="楷体" w:hAnsi="楷体" w:eastAsia="楷体"/>
          <w:b w:val="0"/>
          <w:bCs/>
          <w:sz w:val="28"/>
          <w:szCs w:val="28"/>
        </w:rPr>
        <w:t>各项目目标完成情况分析</w:t>
      </w:r>
    </w:p>
    <w:p w14:paraId="75FA78D5">
      <w:pPr>
        <w:snapToGrid w:val="0"/>
        <w:spacing w:before="120" w:line="360" w:lineRule="auto"/>
        <w:ind w:firstLine="482"/>
      </w:pPr>
      <w:r>
        <w:rPr>
          <w:b/>
          <w:bCs/>
        </w:rPr>
        <w:t>到2020年，城镇新建建筑能效较2015年提升20%。</w:t>
      </w:r>
      <w:r>
        <w:t>该指标来自国家发展改革委、住房城乡建设部等13部委印发的《“十三五”全民节能行动计划》（发改环资〔2016〕2705号）。该目标完成情况评估如下：截至2019年底，北方采暖地区新建居住建筑已经全面执行75%建筑节能强制性标准，相较于2010年的标准，提升了30%。同时，为落实《国务院关于印发深化标准化工作改革方案》（国发〔2015〕13号）要求，住房和城乡建设部启动了住房和城乡建设领域强制性工程建设规范编制工作，其中《建筑节能与可再生能源利用通用规范》是其中之一，根据目前该规范编制情况看，设定的新建建筑节能目标是：以2016年新建建筑为基准。其中居住建筑全年供暖空调设计总能耗降低30%，公共建筑全年供暖、通风、空调和照明的设计总能耗降低20%。另外，各地区也在研究编制夏热冬冷、夏热冬暖地区、公共建筑节能设计技术标准，据了解，预计提出的节能目标在75%左右，相较于修订前平均提升了30%左右。此外，北京、天津、重庆、上海、深圳等地也都开始研究高于国家标准的地方标准。综合来看，关于建筑节能的国家标准和地方标准都在稳步提升，预计可完成2020年城镇新建建筑能效较2015年提升20%的目标。</w:t>
      </w:r>
    </w:p>
    <w:p w14:paraId="1BBCCAC7">
      <w:pPr>
        <w:snapToGrid w:val="0"/>
        <w:spacing w:before="120" w:line="360" w:lineRule="auto"/>
        <w:ind w:firstLine="482"/>
      </w:pPr>
      <w:r>
        <w:rPr>
          <w:b/>
          <w:bCs/>
        </w:rPr>
        <w:t>到2020年，城镇绿色建筑占新建建筑比重超过50%。</w:t>
      </w:r>
      <w:r>
        <w:t>该指标来自《国家新型城镇化规划（2014-2020年）》、《国务院关于印发“十三五”节能减排综合工作方案的通知》（国发〔2016〕74号）。根据住房和城乡建设部年度检查数据，截至2018年底，全国城镇绿色建筑总面积共完成10.59亿平方米，占新建建筑比重已达55.44%，从统计数据看，已提前并超额完成了指标要求。</w:t>
      </w:r>
    </w:p>
    <w:p w14:paraId="1B037064"/>
    <w:p w14:paraId="5B6E9F02">
      <w:pPr>
        <w:jc w:val="center"/>
        <w:rPr>
          <w:kern w:val="2"/>
          <w:szCs w:val="18"/>
        </w:rPr>
      </w:pPr>
      <w:r>
        <w:drawing>
          <wp:inline distT="0" distB="0" distL="0" distR="0">
            <wp:extent cx="4107180" cy="2362200"/>
            <wp:effectExtent l="0" t="0" r="762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107180" cy="2362200"/>
                    </a:xfrm>
                    <a:prstGeom prst="rect">
                      <a:avLst/>
                    </a:prstGeom>
                    <a:noFill/>
                    <a:ln>
                      <a:noFill/>
                    </a:ln>
                  </pic:spPr>
                </pic:pic>
              </a:graphicData>
            </a:graphic>
          </wp:inline>
        </w:drawing>
      </w:r>
    </w:p>
    <w:p w14:paraId="2BD10FD7">
      <w:pPr>
        <w:rPr>
          <w:szCs w:val="21"/>
        </w:rPr>
      </w:pPr>
      <w:r>
        <w:t>图3-</w:t>
      </w:r>
      <w:r>
        <w:fldChar w:fldCharType="begin"/>
      </w:r>
      <w:r>
        <w:instrText xml:space="preserve"> SEQ 图3- \* ARABIC </w:instrText>
      </w:r>
      <w:r>
        <w:fldChar w:fldCharType="separate"/>
      </w:r>
      <w:r>
        <w:t>1</w:t>
      </w:r>
      <w:r>
        <w:fldChar w:fldCharType="end"/>
      </w:r>
      <w:r>
        <w:rPr>
          <w:rFonts w:hint="eastAsia"/>
          <w:szCs w:val="21"/>
        </w:rPr>
        <w:t xml:space="preserve"> 城镇绿色建筑占新建建筑比重</w:t>
      </w:r>
    </w:p>
    <w:p w14:paraId="2F770472">
      <w:pPr>
        <w:snapToGrid w:val="0"/>
        <w:spacing w:before="120" w:line="360" w:lineRule="auto"/>
      </w:pPr>
      <w:r>
        <w:t>截至2018年底，累计有13698个项目获得绿色建筑评价标识，建筑面积超过14.94亿平方米，预计2020年新增绿色建筑面积可达20亿平方米以上。</w:t>
      </w:r>
    </w:p>
    <w:p w14:paraId="65276CD4">
      <w:pPr>
        <w:jc w:val="center"/>
        <w:rPr>
          <w:szCs w:val="24"/>
        </w:rPr>
      </w:pPr>
      <w:r>
        <w:drawing>
          <wp:inline distT="0" distB="0" distL="0" distR="0">
            <wp:extent cx="4107180" cy="1996440"/>
            <wp:effectExtent l="0" t="0" r="7620" b="381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107180" cy="1996440"/>
                    </a:xfrm>
                    <a:prstGeom prst="rect">
                      <a:avLst/>
                    </a:prstGeom>
                    <a:noFill/>
                    <a:ln>
                      <a:noFill/>
                    </a:ln>
                  </pic:spPr>
                </pic:pic>
              </a:graphicData>
            </a:graphic>
          </wp:inline>
        </w:drawing>
      </w:r>
    </w:p>
    <w:p w14:paraId="392B5F13">
      <w:r>
        <w:t>图3-</w:t>
      </w:r>
      <w:r>
        <w:fldChar w:fldCharType="begin"/>
      </w:r>
      <w:r>
        <w:instrText xml:space="preserve"> SEQ 图3- \* ARABIC </w:instrText>
      </w:r>
      <w:r>
        <w:fldChar w:fldCharType="separate"/>
      </w:r>
      <w:r>
        <w:t>2</w:t>
      </w:r>
      <w:r>
        <w:fldChar w:fldCharType="end"/>
      </w:r>
      <w:r>
        <w:rPr>
          <w:rFonts w:hint="eastAsia"/>
        </w:rPr>
        <w:t xml:space="preserve"> 实施既有居住建筑节能改造面积情况</w:t>
      </w:r>
    </w:p>
    <w:p w14:paraId="2FB1057B">
      <w:pPr>
        <w:jc w:val="center"/>
        <w:rPr>
          <w:szCs w:val="21"/>
        </w:rPr>
      </w:pPr>
      <w:r>
        <w:drawing>
          <wp:inline distT="0" distB="0" distL="0" distR="0">
            <wp:extent cx="4107180" cy="2278380"/>
            <wp:effectExtent l="0" t="0" r="7620" b="762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107180" cy="2278380"/>
                    </a:xfrm>
                    <a:prstGeom prst="rect">
                      <a:avLst/>
                    </a:prstGeom>
                    <a:noFill/>
                    <a:ln>
                      <a:noFill/>
                    </a:ln>
                  </pic:spPr>
                </pic:pic>
              </a:graphicData>
            </a:graphic>
          </wp:inline>
        </w:drawing>
      </w:r>
    </w:p>
    <w:p w14:paraId="58829267">
      <w:pPr>
        <w:ind w:firstLine="482"/>
      </w:pPr>
      <w:r>
        <w:rPr>
          <w:b/>
        </w:rPr>
        <w:t>图3-</w:t>
      </w:r>
      <w:r>
        <w:rPr>
          <w:b/>
        </w:rPr>
        <w:fldChar w:fldCharType="begin"/>
      </w:r>
      <w:r>
        <w:rPr>
          <w:b/>
        </w:rPr>
        <w:instrText xml:space="preserve"> SEQ 图3- \* ARABIC </w:instrText>
      </w:r>
      <w:r>
        <w:rPr>
          <w:b/>
        </w:rPr>
        <w:fldChar w:fldCharType="separate"/>
      </w:r>
      <w:r>
        <w:rPr>
          <w:b/>
        </w:rPr>
        <w:t>3</w:t>
      </w:r>
      <w:r>
        <w:rPr>
          <w:b/>
        </w:rPr>
        <w:fldChar w:fldCharType="end"/>
      </w:r>
      <w:r>
        <w:rPr>
          <w:rFonts w:hint="eastAsia"/>
        </w:rPr>
        <w:t xml:space="preserve"> 公共建筑节能改造面积情况</w:t>
      </w:r>
    </w:p>
    <w:p w14:paraId="5B9C1CEB">
      <w:pPr>
        <w:snapToGrid w:val="0"/>
        <w:spacing w:before="120" w:line="360" w:lineRule="auto"/>
        <w:ind w:firstLine="482"/>
      </w:pPr>
      <w:r>
        <w:rPr>
          <w:rFonts w:hint="eastAsia"/>
          <w:b/>
          <w:bCs/>
        </w:rPr>
        <w:t>到2020年，北方城镇居住建筑单位面积平均采暖能耗下降比例达到15%，城镇既有公共建筑能耗强度下降比例达到5%。</w:t>
      </w:r>
      <w:r>
        <w:rPr>
          <w:rFonts w:hint="eastAsia"/>
        </w:rPr>
        <w:t>根据《中国建筑能耗报告2019》的数据显示，</w:t>
      </w:r>
      <w:r>
        <w:rPr>
          <w:rFonts w:hint="eastAsia"/>
          <w:lang w:eastAsia="zh-CN"/>
        </w:rPr>
        <w:t>截至</w:t>
      </w:r>
      <w:r>
        <w:rPr>
          <w:rFonts w:hint="eastAsia"/>
        </w:rPr>
        <w:t>2017年底，北方城镇居住建筑单位面积平均采暖能耗强度逐步下降，城镇既有公共建筑能耗强度不降反升。同时，据清华大学2019年《我国建筑节能、绿色建筑及低碳发展之目标体系研究》研究报告推算，预计到2025年，北方城镇居住建筑单位面积平均采暖能耗强度将从2015年的14.5kgce/m</w:t>
      </w:r>
      <w:r>
        <w:rPr>
          <w:rFonts w:hint="eastAsia"/>
          <w:vertAlign w:val="superscript"/>
        </w:rPr>
        <w:t>2</w:t>
      </w:r>
      <w:r>
        <w:rPr>
          <w:rFonts w:hint="eastAsia"/>
        </w:rPr>
        <w:t>下降到8.2kgce/m</w:t>
      </w:r>
      <w:r>
        <w:rPr>
          <w:rFonts w:hint="eastAsia"/>
          <w:vertAlign w:val="superscript"/>
        </w:rPr>
        <w:t>2</w:t>
      </w:r>
      <w:r>
        <w:rPr>
          <w:rFonts w:hint="eastAsia"/>
        </w:rPr>
        <w:t>，城镇既有公共建筑能耗强度将从2015年的22.8kgce/m</w:t>
      </w:r>
      <w:r>
        <w:rPr>
          <w:rFonts w:hint="eastAsia"/>
          <w:vertAlign w:val="superscript"/>
        </w:rPr>
        <w:t>2</w:t>
      </w:r>
      <w:r>
        <w:rPr>
          <w:rFonts w:hint="eastAsia"/>
        </w:rPr>
        <w:t>上升到24kgce/m</w:t>
      </w:r>
      <w:r>
        <w:rPr>
          <w:rFonts w:hint="eastAsia"/>
          <w:vertAlign w:val="superscript"/>
        </w:rPr>
        <w:t>2</w:t>
      </w:r>
      <w:r>
        <w:rPr>
          <w:rFonts w:hint="eastAsia"/>
        </w:rPr>
        <w:t>。预计“十三五”期间，北方城镇居住建筑单位面积平均采暖能耗下降比例达到15%的目标可以实现，城镇既有公共建筑能耗强度下降比例达到5%的目标难以实现。</w:t>
      </w:r>
    </w:p>
    <w:p w14:paraId="1BEB8004">
      <w:pPr>
        <w:jc w:val="center"/>
      </w:pPr>
      <w:r>
        <w:drawing>
          <wp:inline distT="0" distB="0" distL="0" distR="0">
            <wp:extent cx="4145280" cy="2400300"/>
            <wp:effectExtent l="0" t="0" r="762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145280" cy="2400300"/>
                    </a:xfrm>
                    <a:prstGeom prst="rect">
                      <a:avLst/>
                    </a:prstGeom>
                    <a:noFill/>
                    <a:ln>
                      <a:noFill/>
                    </a:ln>
                  </pic:spPr>
                </pic:pic>
              </a:graphicData>
            </a:graphic>
          </wp:inline>
        </w:drawing>
      </w:r>
    </w:p>
    <w:p w14:paraId="6AD5922C">
      <w:r>
        <w:t>图3-</w:t>
      </w:r>
      <w:r>
        <w:fldChar w:fldCharType="begin"/>
      </w:r>
      <w:r>
        <w:instrText xml:space="preserve"> </w:instrText>
      </w:r>
      <w:r>
        <w:rPr>
          <w:rFonts w:hint="eastAsia"/>
        </w:rPr>
        <w:instrText xml:space="preserve">SEQ 图3- \* ARABIC</w:instrText>
      </w:r>
      <w:r>
        <w:instrText xml:space="preserve"> </w:instrText>
      </w:r>
      <w:r>
        <w:fldChar w:fldCharType="separate"/>
      </w:r>
      <w:r>
        <w:t>4</w:t>
      </w:r>
      <w:r>
        <w:fldChar w:fldCharType="end"/>
      </w:r>
      <w:r>
        <w:rPr>
          <w:rFonts w:hint="eastAsia"/>
        </w:rPr>
        <w:t xml:space="preserve"> 北方城镇集中供热单位面积能耗（《中国建筑能耗报告2019》）</w:t>
      </w:r>
    </w:p>
    <w:p w14:paraId="2ECF8498"/>
    <w:p w14:paraId="35736174">
      <w:pPr>
        <w:snapToGrid w:val="0"/>
        <w:spacing w:before="120" w:line="360" w:lineRule="auto"/>
        <w:ind w:firstLine="482"/>
      </w:pPr>
      <w:r>
        <w:rPr>
          <w:b/>
          <w:bCs/>
        </w:rPr>
        <w:t>到2020年，城镇建筑中可再生能源替代率达到6%。</w:t>
      </w:r>
      <w:r>
        <w:t>该指标来自《住房城乡建设事业“十三五”规划纲要》。目前在城镇建筑中应用可再生能源的主要形式是太阳能光热应用、太阳能光电应用、浅层地热能、空气热能等。根据住房和城乡建设部科技发展促进中心研究结果表明：在太阳能光热应用方面，截至2018年底，全国累计太阳能光热应用集热面积达到5亿平方米，约合应用建筑面积50亿平方米。与建筑结合的太阳能光热利用技术中，制取生活热水仍占绝大多数，占到约84%，全年太阳能保证率普遍在60%左右，太阳能光热系统单位建筑面积年常规能源替代量为5.2kgce/m</w:t>
      </w:r>
      <w:r>
        <w:rPr>
          <w:vertAlign w:val="superscript"/>
        </w:rPr>
        <w:t>2</w:t>
      </w:r>
      <w:r>
        <w:t>，太阳能光热系统建筑应用可实现年常规能源替代量约2600万吨标准煤；在太阳能光电应用方面，截至2019年底，全国累计太阳能光电建筑应用装机约为30GW。按照1kW年发电量1500kWh、每度电耗0.338kg标煤计算，1kW装机太阳能光伏发电系统的年常规能源替代量约为500kgce/kW。所以截至2019年底，全国累计太阳能光电建筑应用可实现年常规能源替代量约1500万吨标准煤；在浅层地热能应用方面，截至2018年底，全国累计浅层地热能建筑应用面积约为6.2亿平方米。按相关实际运行项目测评结果，单位建筑面积的平均年常规能源替代量折算为12.7kgce/m</w:t>
      </w:r>
      <w:r>
        <w:rPr>
          <w:vertAlign w:val="superscript"/>
        </w:rPr>
        <w:t>2</w:t>
      </w:r>
      <w:r>
        <w:t>。所以截至2018年底，全国累计浅层地热能建筑应用可实现年常规能源替代量约790万吨标准煤；在空气热能建筑应用方面，根据2018年空气源热泵供暖机销售情况，折合应用建筑面积约7500万平方米，综合考虑产业发展情况，截至2019年，全国累计供暖应用建筑面积约达2亿平方米，按照平均运行能效水平、每平方米建筑耗能50W计算，单位建筑面积空气源热泵年常规能源替代量约为2.14kgce/m</w:t>
      </w:r>
      <w:r>
        <w:rPr>
          <w:vertAlign w:val="superscript"/>
        </w:rPr>
        <w:t>2</w:t>
      </w:r>
      <w:r>
        <w:t>，可实现年常规能源替代量约150万吨标准煤。综上，可再生能源在建筑应用可替代常规能源消费超过5000万吨标准煤左右，预计2020年的能源替代率达到6%的目标可以实现。</w:t>
      </w:r>
    </w:p>
    <w:p w14:paraId="38A20D48">
      <w:pPr>
        <w:snapToGrid w:val="0"/>
        <w:spacing w:before="120" w:line="360" w:lineRule="auto"/>
        <w:ind w:firstLine="482"/>
      </w:pPr>
      <w:r>
        <w:rPr>
          <w:b/>
          <w:bCs/>
        </w:rPr>
        <w:t>到2020年，城镇既有居住建筑中节能建筑所占比例达到60%。</w:t>
      </w:r>
      <w:r>
        <w:t>截至2018年底，城镇既有居住建筑中执行50%及以上节能标准建筑面积已达182.36亿平方米，所占比例已达到51.01%，按照此速度，预计2020年能够完成指标要求。</w:t>
      </w:r>
    </w:p>
    <w:p w14:paraId="31E6A937">
      <w:pPr>
        <w:jc w:val="center"/>
        <w:rPr>
          <w:szCs w:val="24"/>
        </w:rPr>
      </w:pPr>
      <w:r>
        <w:drawing>
          <wp:inline distT="0" distB="0" distL="0" distR="0">
            <wp:extent cx="4152900" cy="22098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152900" cy="2209800"/>
                    </a:xfrm>
                    <a:prstGeom prst="rect">
                      <a:avLst/>
                    </a:prstGeom>
                    <a:noFill/>
                    <a:ln>
                      <a:noFill/>
                    </a:ln>
                  </pic:spPr>
                </pic:pic>
              </a:graphicData>
            </a:graphic>
          </wp:inline>
        </w:drawing>
      </w:r>
    </w:p>
    <w:p w14:paraId="08CA51A3">
      <w:r>
        <w:t>图3-</w:t>
      </w:r>
      <w:r>
        <w:fldChar w:fldCharType="begin"/>
      </w:r>
      <w:r>
        <w:instrText xml:space="preserve"> </w:instrText>
      </w:r>
      <w:r>
        <w:rPr>
          <w:rFonts w:hint="eastAsia"/>
        </w:rPr>
        <w:instrText xml:space="preserve">SEQ 图3- \* ARABIC</w:instrText>
      </w:r>
      <w:r>
        <w:instrText xml:space="preserve"> </w:instrText>
      </w:r>
      <w:r>
        <w:fldChar w:fldCharType="separate"/>
      </w:r>
      <w:r>
        <w:t>5</w:t>
      </w:r>
      <w:r>
        <w:fldChar w:fldCharType="end"/>
      </w:r>
      <w:r>
        <w:rPr>
          <w:rFonts w:hint="eastAsia"/>
        </w:rPr>
        <w:t xml:space="preserve"> 城镇既有居住建筑中节能建筑所占比例</w:t>
      </w:r>
    </w:p>
    <w:p w14:paraId="6914E915"/>
    <w:p w14:paraId="36DCA5CC">
      <w:pPr>
        <w:snapToGrid w:val="0"/>
        <w:spacing w:before="120" w:line="360" w:lineRule="auto"/>
        <w:ind w:firstLine="482"/>
      </w:pPr>
      <w:r>
        <w:rPr>
          <w:b/>
          <w:bCs/>
        </w:rPr>
        <w:t>到2020年，经济发达地区及重点发展区域农村居住建筑采用节能措施比例达到10%。</w:t>
      </w:r>
      <w:r>
        <w:t>全国各省市积极开展经济发达地区及重点发展区域农村居住建筑节能措施。2017年，发展改革委、财政部、环境保护部、住房城乡建设部等多部委发布了《北方地区冬季清洁取暖规划（2017-2021年）》（发改能源〔2017〕2100号），启动了北方的“2+26”个清洁取暖重点城市，其中重点推进了农村地区建筑节能改造，节能目标为30%。</w:t>
      </w:r>
      <w:r>
        <w:rPr>
          <w:rFonts w:hint="eastAsia"/>
          <w:lang w:eastAsia="zh-CN"/>
        </w:rPr>
        <w:t>截至</w:t>
      </w:r>
      <w:r>
        <w:t>2018年底，京津冀及周边地区、汾渭平原七省（市）共完成清洁取暖改造1372.65 万户。北京市自2006年开始进行农村建筑维护结构改造的试点，到2018年底，累计完成农房节能改造总户100多万户。北京已有的一些村镇住宅示范工程表明，对围护结构进行节能改造可以提高冬季室内平均温度4~7℃，采暖煤耗降低至11.6~15.1kg标煤/m</w:t>
      </w:r>
      <w:r>
        <w:rPr>
          <w:vertAlign w:val="superscript"/>
        </w:rPr>
        <w:t>2</w:t>
      </w:r>
      <w:r>
        <w:t>，与改造前相比降低27%~44%。内蒙古自治区试点推进农村地区建筑清洁采暖改造，在对内蒙古自治区巴彦淖尔市乌拉特后旗呼和温都尔镇开展了22万平米的燃煤供暖系统进行清洁能源改造，项目采用老旧小区既有建筑节能改造+空气源热泵+电锅炉+光热蓄水+能耗数据监测+行为节能等技术路线，进行分布式布局供热。遵循能源互联网理念，利用新能源微电网技术，运用清洁风电光热能替代常规燃煤能源、多能互补理念进行设计建设。项目总投资2800万元</w:t>
      </w:r>
      <w:r>
        <w:rPr>
          <w:rFonts w:hint="eastAsia"/>
        </w:rPr>
        <w:t>（</w:t>
      </w:r>
      <w:r>
        <w:t>含配套电网投资</w:t>
      </w:r>
      <w:r>
        <w:rPr>
          <w:rFonts w:hint="eastAsia"/>
        </w:rPr>
        <w:t>）</w:t>
      </w:r>
      <w:r>
        <w:t>，单位综合造价为127元/m</w:t>
      </w:r>
      <w:r>
        <w:rPr>
          <w:vertAlign w:val="superscript"/>
        </w:rPr>
        <w:t>2</w:t>
      </w:r>
      <w:r>
        <w:t>，收益以取暖费收取为主。经一年测试运行，建筑室内温度保持在21-25℃之间，采用清洁能源供暖后，年节约煤4338吨，减少二氧化碳排放量1.07万吨。综合来看，全国各地特别是北方地区已开始加强对农村居住建筑的节能措施，预计可以完成2020规划目标任务。</w:t>
      </w:r>
    </w:p>
    <w:p w14:paraId="5D07970E">
      <w:r>
        <w:t>表3-</w:t>
      </w:r>
      <w:r>
        <w:fldChar w:fldCharType="begin"/>
      </w:r>
      <w:r>
        <w:instrText xml:space="preserve"> </w:instrText>
      </w:r>
      <w:r>
        <w:rPr>
          <w:rFonts w:hint="eastAsia"/>
        </w:rPr>
        <w:instrText xml:space="preserve">SEQ 表3- \* ARABIC</w:instrText>
      </w:r>
      <w:r>
        <w:instrText xml:space="preserve"> </w:instrText>
      </w:r>
      <w:r>
        <w:fldChar w:fldCharType="separate"/>
      </w:r>
      <w:r>
        <w:t>2</w:t>
      </w:r>
      <w:r>
        <w:fldChar w:fldCharType="end"/>
      </w:r>
      <w:r>
        <w:rPr>
          <w:rFonts w:hint="eastAsia"/>
        </w:rPr>
        <w:t xml:space="preserve"> 北方地区部分省市农宅墙体有保温措施的比例 </w:t>
      </w:r>
    </w:p>
    <w:tbl>
      <w:tblPr>
        <w:tblStyle w:val="21"/>
        <w:tblW w:w="56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689"/>
        <w:gridCol w:w="691"/>
        <w:gridCol w:w="692"/>
        <w:gridCol w:w="692"/>
        <w:gridCol w:w="694"/>
        <w:gridCol w:w="692"/>
        <w:gridCol w:w="694"/>
        <w:gridCol w:w="874"/>
        <w:gridCol w:w="873"/>
        <w:gridCol w:w="728"/>
        <w:gridCol w:w="732"/>
        <w:gridCol w:w="721"/>
      </w:tblGrid>
      <w:tr w14:paraId="5CFD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35" w:type="pct"/>
            <w:vAlign w:val="center"/>
          </w:tcPr>
          <w:p w14:paraId="20FB53F3">
            <w:pPr>
              <w:pStyle w:val="40"/>
            </w:pPr>
            <w:r>
              <w:t>省份</w:t>
            </w:r>
          </w:p>
        </w:tc>
        <w:tc>
          <w:tcPr>
            <w:tcW w:w="359" w:type="pct"/>
            <w:vAlign w:val="center"/>
          </w:tcPr>
          <w:p w14:paraId="60F78369">
            <w:pPr>
              <w:pStyle w:val="40"/>
            </w:pPr>
            <w:r>
              <w:t>北京</w:t>
            </w:r>
          </w:p>
        </w:tc>
        <w:tc>
          <w:tcPr>
            <w:tcW w:w="360" w:type="pct"/>
            <w:vAlign w:val="center"/>
          </w:tcPr>
          <w:p w14:paraId="5A2E22B3">
            <w:pPr>
              <w:pStyle w:val="40"/>
            </w:pPr>
            <w:r>
              <w:rPr>
                <w:rFonts w:hint="eastAsia"/>
              </w:rPr>
              <w:t>河北</w:t>
            </w:r>
          </w:p>
        </w:tc>
        <w:tc>
          <w:tcPr>
            <w:tcW w:w="360" w:type="pct"/>
            <w:vAlign w:val="center"/>
          </w:tcPr>
          <w:p w14:paraId="45E878B5">
            <w:pPr>
              <w:pStyle w:val="40"/>
            </w:pPr>
            <w:r>
              <w:t>天津</w:t>
            </w:r>
          </w:p>
        </w:tc>
        <w:tc>
          <w:tcPr>
            <w:tcW w:w="360" w:type="pct"/>
            <w:vAlign w:val="center"/>
          </w:tcPr>
          <w:p w14:paraId="451ADC3F">
            <w:pPr>
              <w:pStyle w:val="40"/>
            </w:pPr>
            <w:r>
              <w:t>山东</w:t>
            </w:r>
          </w:p>
        </w:tc>
        <w:tc>
          <w:tcPr>
            <w:tcW w:w="361" w:type="pct"/>
            <w:vAlign w:val="center"/>
          </w:tcPr>
          <w:p w14:paraId="32D1BBFE">
            <w:pPr>
              <w:pStyle w:val="40"/>
            </w:pPr>
            <w:r>
              <w:rPr>
                <w:rFonts w:hint="eastAsia"/>
              </w:rPr>
              <w:t>山西</w:t>
            </w:r>
          </w:p>
        </w:tc>
        <w:tc>
          <w:tcPr>
            <w:tcW w:w="360" w:type="pct"/>
            <w:vAlign w:val="center"/>
          </w:tcPr>
          <w:p w14:paraId="49565546">
            <w:pPr>
              <w:pStyle w:val="40"/>
            </w:pPr>
            <w:r>
              <w:t>甘肃</w:t>
            </w:r>
          </w:p>
        </w:tc>
        <w:tc>
          <w:tcPr>
            <w:tcW w:w="361" w:type="pct"/>
            <w:vAlign w:val="center"/>
          </w:tcPr>
          <w:p w14:paraId="1546DA8A">
            <w:pPr>
              <w:pStyle w:val="40"/>
            </w:pPr>
            <w:r>
              <w:t>辽宁</w:t>
            </w:r>
          </w:p>
        </w:tc>
        <w:tc>
          <w:tcPr>
            <w:tcW w:w="455" w:type="pct"/>
            <w:vAlign w:val="center"/>
          </w:tcPr>
          <w:p w14:paraId="0F8DC31D">
            <w:pPr>
              <w:pStyle w:val="40"/>
            </w:pPr>
            <w:r>
              <w:t>黑龙江</w:t>
            </w:r>
          </w:p>
        </w:tc>
        <w:tc>
          <w:tcPr>
            <w:tcW w:w="454" w:type="pct"/>
            <w:vAlign w:val="center"/>
          </w:tcPr>
          <w:p w14:paraId="57B2BB86">
            <w:pPr>
              <w:pStyle w:val="40"/>
            </w:pPr>
            <w:r>
              <w:t>内蒙古</w:t>
            </w:r>
          </w:p>
        </w:tc>
        <w:tc>
          <w:tcPr>
            <w:tcW w:w="379" w:type="pct"/>
            <w:vAlign w:val="center"/>
          </w:tcPr>
          <w:p w14:paraId="0E71346B">
            <w:pPr>
              <w:pStyle w:val="40"/>
            </w:pPr>
            <w:r>
              <w:t>青海</w:t>
            </w:r>
          </w:p>
        </w:tc>
        <w:tc>
          <w:tcPr>
            <w:tcW w:w="381" w:type="pct"/>
            <w:vAlign w:val="center"/>
          </w:tcPr>
          <w:p w14:paraId="6CFC99EF">
            <w:pPr>
              <w:pStyle w:val="40"/>
            </w:pPr>
            <w:r>
              <w:t>陕西</w:t>
            </w:r>
          </w:p>
        </w:tc>
        <w:tc>
          <w:tcPr>
            <w:tcW w:w="376" w:type="pct"/>
            <w:vAlign w:val="center"/>
          </w:tcPr>
          <w:p w14:paraId="7867CF88">
            <w:pPr>
              <w:pStyle w:val="40"/>
            </w:pPr>
            <w:r>
              <w:t>宁夏</w:t>
            </w:r>
          </w:p>
        </w:tc>
      </w:tr>
      <w:tr w14:paraId="4612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35" w:type="pct"/>
            <w:vAlign w:val="center"/>
          </w:tcPr>
          <w:p w14:paraId="2826D11D">
            <w:pPr>
              <w:pStyle w:val="40"/>
            </w:pPr>
            <w:r>
              <w:t>保温比例</w:t>
            </w:r>
          </w:p>
          <w:p w14:paraId="2E4A9FCF">
            <w:pPr>
              <w:pStyle w:val="40"/>
            </w:pPr>
            <w:r>
              <w:rPr>
                <w:rFonts w:hint="eastAsia"/>
              </w:rPr>
              <w:t>（</w:t>
            </w:r>
            <w:r>
              <w:t>%</w:t>
            </w:r>
            <w:r>
              <w:rPr>
                <w:rFonts w:hint="eastAsia"/>
              </w:rPr>
              <w:t>）</w:t>
            </w:r>
          </w:p>
        </w:tc>
        <w:tc>
          <w:tcPr>
            <w:tcW w:w="359" w:type="pct"/>
            <w:vAlign w:val="center"/>
          </w:tcPr>
          <w:p w14:paraId="488787A5">
            <w:pPr>
              <w:pStyle w:val="40"/>
            </w:pPr>
            <w:r>
              <w:t>47.5</w:t>
            </w:r>
          </w:p>
        </w:tc>
        <w:tc>
          <w:tcPr>
            <w:tcW w:w="360" w:type="pct"/>
            <w:vAlign w:val="center"/>
          </w:tcPr>
          <w:p w14:paraId="0E65EAEE">
            <w:pPr>
              <w:pStyle w:val="40"/>
            </w:pPr>
            <w:r>
              <w:t>5.2</w:t>
            </w:r>
          </w:p>
        </w:tc>
        <w:tc>
          <w:tcPr>
            <w:tcW w:w="360" w:type="pct"/>
            <w:vAlign w:val="center"/>
          </w:tcPr>
          <w:p w14:paraId="6A849EA7">
            <w:pPr>
              <w:pStyle w:val="40"/>
            </w:pPr>
            <w:r>
              <w:t>14.6</w:t>
            </w:r>
          </w:p>
        </w:tc>
        <w:tc>
          <w:tcPr>
            <w:tcW w:w="360" w:type="pct"/>
            <w:vAlign w:val="center"/>
          </w:tcPr>
          <w:p w14:paraId="0EDC1F6D">
            <w:pPr>
              <w:pStyle w:val="40"/>
            </w:pPr>
            <w:r>
              <w:t>5</w:t>
            </w:r>
          </w:p>
        </w:tc>
        <w:tc>
          <w:tcPr>
            <w:tcW w:w="361" w:type="pct"/>
            <w:vAlign w:val="center"/>
          </w:tcPr>
          <w:p w14:paraId="2FEDDCAF">
            <w:pPr>
              <w:pStyle w:val="40"/>
            </w:pPr>
            <w:r>
              <w:t>0</w:t>
            </w:r>
          </w:p>
        </w:tc>
        <w:tc>
          <w:tcPr>
            <w:tcW w:w="360" w:type="pct"/>
            <w:vAlign w:val="center"/>
          </w:tcPr>
          <w:p w14:paraId="7C3EA80C">
            <w:pPr>
              <w:pStyle w:val="40"/>
            </w:pPr>
            <w:r>
              <w:t>2.6</w:t>
            </w:r>
          </w:p>
        </w:tc>
        <w:tc>
          <w:tcPr>
            <w:tcW w:w="361" w:type="pct"/>
            <w:vAlign w:val="center"/>
          </w:tcPr>
          <w:p w14:paraId="19FF750E">
            <w:pPr>
              <w:pStyle w:val="40"/>
            </w:pPr>
            <w:r>
              <w:t>10.8</w:t>
            </w:r>
          </w:p>
        </w:tc>
        <w:tc>
          <w:tcPr>
            <w:tcW w:w="455" w:type="pct"/>
            <w:vAlign w:val="center"/>
          </w:tcPr>
          <w:p w14:paraId="2D24E168">
            <w:pPr>
              <w:pStyle w:val="40"/>
            </w:pPr>
            <w:r>
              <w:t>3.3</w:t>
            </w:r>
          </w:p>
        </w:tc>
        <w:tc>
          <w:tcPr>
            <w:tcW w:w="454" w:type="pct"/>
            <w:vAlign w:val="center"/>
          </w:tcPr>
          <w:p w14:paraId="2711A911">
            <w:pPr>
              <w:pStyle w:val="40"/>
            </w:pPr>
            <w:r>
              <w:t>4</w:t>
            </w:r>
          </w:p>
        </w:tc>
        <w:tc>
          <w:tcPr>
            <w:tcW w:w="379" w:type="pct"/>
            <w:vAlign w:val="center"/>
          </w:tcPr>
          <w:p w14:paraId="647FDADA">
            <w:pPr>
              <w:pStyle w:val="40"/>
            </w:pPr>
            <w:r>
              <w:t>1</w:t>
            </w:r>
          </w:p>
        </w:tc>
        <w:tc>
          <w:tcPr>
            <w:tcW w:w="381" w:type="pct"/>
            <w:vAlign w:val="center"/>
          </w:tcPr>
          <w:p w14:paraId="78ADD2A9">
            <w:pPr>
              <w:pStyle w:val="40"/>
            </w:pPr>
            <w:r>
              <w:t>1.9</w:t>
            </w:r>
          </w:p>
        </w:tc>
        <w:tc>
          <w:tcPr>
            <w:tcW w:w="376" w:type="pct"/>
            <w:vAlign w:val="center"/>
          </w:tcPr>
          <w:p w14:paraId="1394B4C0">
            <w:pPr>
              <w:pStyle w:val="40"/>
            </w:pPr>
            <w:r>
              <w:t>1</w:t>
            </w:r>
          </w:p>
        </w:tc>
      </w:tr>
    </w:tbl>
    <w:p w14:paraId="1DE70561"/>
    <w:p w14:paraId="5B31051A">
      <w:pPr>
        <w:snapToGrid w:val="0"/>
        <w:spacing w:before="120" w:line="360" w:lineRule="auto"/>
        <w:ind w:firstLine="482"/>
        <w:rPr>
          <w:b/>
          <w:bCs/>
        </w:rPr>
      </w:pPr>
      <w:r>
        <w:rPr>
          <w:rFonts w:hint="eastAsia"/>
          <w:b/>
          <w:bCs/>
        </w:rPr>
        <w:t>加快提高建筑节能标准及执行质量实现情况。</w:t>
      </w:r>
      <w:r>
        <w:rPr>
          <w:rFonts w:hint="eastAsia"/>
        </w:rPr>
        <w:t>截至2018年底，我国建筑节能领域共收录标准240条，其中国家标准（GB）144条，建筑工业行业标准（JG）81条，城镇建设标准（CJ）4条，建筑材料行业标准（JC）9条，其他标准2条，详见下表。此外，山东、河北、河南、北京、吉林等省市针对超低能耗建筑示范推广的政策和技术标准陆续出台，在财政补贴、非计容面积奖励、备案价上浮、绿色信贷等方面提出了政策优惠。同时，积极发挥社会团体作用，中国建筑节能协会开展了中国被动式超低能耗建筑的评价工作。2016年第一批授予被动式超低能耗建筑的项目共19个，2017年第二批授予被动式超低能耗建筑的项目共15个。预计到2020年，建设超低能耗、近零能耗建筑示范项目可达到1000万平方米以上，完成既定目标要求。</w:t>
      </w:r>
    </w:p>
    <w:p w14:paraId="590B3DCF">
      <w:r>
        <w:t>表3-</w:t>
      </w:r>
      <w:r>
        <w:fldChar w:fldCharType="begin"/>
      </w:r>
      <w:r>
        <w:instrText xml:space="preserve"> </w:instrText>
      </w:r>
      <w:r>
        <w:rPr>
          <w:rFonts w:hint="eastAsia"/>
        </w:rPr>
        <w:instrText xml:space="preserve">SEQ 表3- \* ARABIC</w:instrText>
      </w:r>
      <w:r>
        <w:instrText xml:space="preserve"> </w:instrText>
      </w:r>
      <w:r>
        <w:fldChar w:fldCharType="separate"/>
      </w:r>
      <w:r>
        <w:t>3</w:t>
      </w:r>
      <w:r>
        <w:fldChar w:fldCharType="end"/>
      </w:r>
      <w:r>
        <w:rPr>
          <w:rFonts w:hint="eastAsia"/>
        </w:rPr>
        <w:t xml:space="preserve"> 建筑节能领域各类标准数量统计</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C4F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shd w:val="clear" w:color="auto" w:fill="70AD47"/>
            <w:vAlign w:val="center"/>
          </w:tcPr>
          <w:p w14:paraId="33BF56F4">
            <w:pPr>
              <w:pStyle w:val="40"/>
            </w:pPr>
            <w:r>
              <w:rPr>
                <w:rFonts w:hint="eastAsia"/>
              </w:rPr>
              <w:t>标准分类</w:t>
            </w:r>
          </w:p>
        </w:tc>
        <w:tc>
          <w:tcPr>
            <w:tcW w:w="2500" w:type="pct"/>
            <w:shd w:val="clear" w:color="auto" w:fill="70AD47"/>
            <w:vAlign w:val="center"/>
          </w:tcPr>
          <w:p w14:paraId="53B841C3">
            <w:pPr>
              <w:pStyle w:val="40"/>
            </w:pPr>
            <w:r>
              <w:rPr>
                <w:rFonts w:hint="eastAsia"/>
              </w:rPr>
              <w:t>数量（条）</w:t>
            </w:r>
          </w:p>
        </w:tc>
      </w:tr>
      <w:tr w14:paraId="35AD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shd w:val="clear" w:color="auto" w:fill="DEEAF6"/>
            <w:vAlign w:val="center"/>
          </w:tcPr>
          <w:p w14:paraId="4A689530">
            <w:pPr>
              <w:pStyle w:val="40"/>
            </w:pPr>
            <w:r>
              <w:rPr>
                <w:rFonts w:hint="eastAsia"/>
              </w:rPr>
              <w:t>国家标准</w:t>
            </w:r>
          </w:p>
        </w:tc>
        <w:tc>
          <w:tcPr>
            <w:tcW w:w="2500" w:type="pct"/>
            <w:shd w:val="clear" w:color="auto" w:fill="DEEAF6"/>
            <w:vAlign w:val="center"/>
          </w:tcPr>
          <w:p w14:paraId="270F0740">
            <w:pPr>
              <w:pStyle w:val="40"/>
            </w:pPr>
            <w:r>
              <w:rPr>
                <w:rFonts w:hint="eastAsia"/>
              </w:rPr>
              <w:t>144</w:t>
            </w:r>
          </w:p>
        </w:tc>
      </w:tr>
      <w:tr w14:paraId="30E1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shd w:val="clear" w:color="auto" w:fill="FFFFFF"/>
            <w:vAlign w:val="center"/>
          </w:tcPr>
          <w:p w14:paraId="0EFBE61A">
            <w:pPr>
              <w:pStyle w:val="40"/>
            </w:pPr>
            <w:r>
              <w:rPr>
                <w:rFonts w:hint="eastAsia"/>
              </w:rPr>
              <w:t>建筑行业标准</w:t>
            </w:r>
          </w:p>
        </w:tc>
        <w:tc>
          <w:tcPr>
            <w:tcW w:w="2500" w:type="pct"/>
            <w:shd w:val="clear" w:color="auto" w:fill="FFFFFF"/>
            <w:vAlign w:val="center"/>
          </w:tcPr>
          <w:p w14:paraId="785E1764">
            <w:pPr>
              <w:pStyle w:val="40"/>
            </w:pPr>
            <w:r>
              <w:rPr>
                <w:rFonts w:hint="eastAsia"/>
              </w:rPr>
              <w:t>81</w:t>
            </w:r>
          </w:p>
        </w:tc>
      </w:tr>
      <w:tr w14:paraId="2F8A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shd w:val="clear" w:color="auto" w:fill="DEEAF6"/>
            <w:vAlign w:val="center"/>
          </w:tcPr>
          <w:p w14:paraId="6FFA2AB2">
            <w:pPr>
              <w:pStyle w:val="40"/>
            </w:pPr>
            <w:r>
              <w:rPr>
                <w:rFonts w:hint="eastAsia"/>
              </w:rPr>
              <w:t>城镇建设标准</w:t>
            </w:r>
          </w:p>
        </w:tc>
        <w:tc>
          <w:tcPr>
            <w:tcW w:w="2500" w:type="pct"/>
            <w:shd w:val="clear" w:color="auto" w:fill="DEEAF6"/>
            <w:vAlign w:val="center"/>
          </w:tcPr>
          <w:p w14:paraId="40AB20DC">
            <w:pPr>
              <w:pStyle w:val="40"/>
            </w:pPr>
            <w:r>
              <w:rPr>
                <w:rFonts w:hint="eastAsia"/>
              </w:rPr>
              <w:t>4</w:t>
            </w:r>
          </w:p>
        </w:tc>
      </w:tr>
      <w:tr w14:paraId="3714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shd w:val="clear" w:color="auto" w:fill="FFFFFF"/>
            <w:vAlign w:val="center"/>
          </w:tcPr>
          <w:p w14:paraId="60E8E70F">
            <w:pPr>
              <w:pStyle w:val="40"/>
            </w:pPr>
            <w:r>
              <w:rPr>
                <w:rFonts w:hint="eastAsia"/>
              </w:rPr>
              <w:t>建筑材料行业标准</w:t>
            </w:r>
          </w:p>
        </w:tc>
        <w:tc>
          <w:tcPr>
            <w:tcW w:w="2500" w:type="pct"/>
            <w:shd w:val="clear" w:color="auto" w:fill="FFFFFF"/>
            <w:vAlign w:val="center"/>
          </w:tcPr>
          <w:p w14:paraId="7C33DB8D">
            <w:pPr>
              <w:pStyle w:val="40"/>
            </w:pPr>
            <w:r>
              <w:rPr>
                <w:rFonts w:hint="eastAsia"/>
              </w:rPr>
              <w:t>9</w:t>
            </w:r>
          </w:p>
        </w:tc>
      </w:tr>
      <w:tr w14:paraId="0A3B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shd w:val="clear" w:color="auto" w:fill="DEEAF6"/>
            <w:vAlign w:val="center"/>
          </w:tcPr>
          <w:p w14:paraId="09B53BDE">
            <w:pPr>
              <w:pStyle w:val="40"/>
            </w:pPr>
            <w:r>
              <w:rPr>
                <w:rFonts w:hint="eastAsia"/>
              </w:rPr>
              <w:t>其他标准</w:t>
            </w:r>
          </w:p>
        </w:tc>
        <w:tc>
          <w:tcPr>
            <w:tcW w:w="2500" w:type="pct"/>
            <w:shd w:val="clear" w:color="auto" w:fill="DEEAF6"/>
            <w:vAlign w:val="center"/>
          </w:tcPr>
          <w:p w14:paraId="55CF2C3A">
            <w:pPr>
              <w:pStyle w:val="40"/>
            </w:pPr>
            <w:r>
              <w:rPr>
                <w:rFonts w:hint="eastAsia"/>
              </w:rPr>
              <w:t>2</w:t>
            </w:r>
          </w:p>
        </w:tc>
      </w:tr>
      <w:tr w14:paraId="360E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shd w:val="clear" w:color="auto" w:fill="FFFFFF"/>
            <w:vAlign w:val="center"/>
          </w:tcPr>
          <w:p w14:paraId="44DD3AC5">
            <w:pPr>
              <w:pStyle w:val="40"/>
            </w:pPr>
            <w:r>
              <w:rPr>
                <w:rFonts w:hint="eastAsia"/>
              </w:rPr>
              <w:t>总计</w:t>
            </w:r>
          </w:p>
        </w:tc>
        <w:tc>
          <w:tcPr>
            <w:tcW w:w="2500" w:type="pct"/>
            <w:shd w:val="clear" w:color="auto" w:fill="FFFFFF"/>
            <w:vAlign w:val="center"/>
          </w:tcPr>
          <w:p w14:paraId="391CC302">
            <w:pPr>
              <w:pStyle w:val="40"/>
            </w:pPr>
            <w:r>
              <w:rPr>
                <w:rFonts w:hint="eastAsia"/>
              </w:rPr>
              <w:t>240</w:t>
            </w:r>
          </w:p>
        </w:tc>
      </w:tr>
    </w:tbl>
    <w:p w14:paraId="08A4DF68"/>
    <w:p w14:paraId="3273B59A">
      <w:pPr>
        <w:jc w:val="center"/>
      </w:pPr>
      <w:r>
        <w:drawing>
          <wp:inline distT="0" distB="0" distL="0" distR="0">
            <wp:extent cx="3771265" cy="2168525"/>
            <wp:effectExtent l="0" t="0" r="635" b="3175"/>
            <wp:docPr id="44" name="图表 4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872FB9F">
      <w:r>
        <w:t>图3-</w:t>
      </w:r>
      <w:r>
        <w:fldChar w:fldCharType="begin"/>
      </w:r>
      <w:r>
        <w:instrText xml:space="preserve"> </w:instrText>
      </w:r>
      <w:r>
        <w:rPr>
          <w:rFonts w:hint="eastAsia"/>
        </w:rPr>
        <w:instrText xml:space="preserve">SEQ 图3- \* ARABIC</w:instrText>
      </w:r>
      <w:r>
        <w:instrText xml:space="preserve"> </w:instrText>
      </w:r>
      <w:r>
        <w:fldChar w:fldCharType="separate"/>
      </w:r>
      <w:r>
        <w:t>6</w:t>
      </w:r>
      <w:r>
        <w:fldChar w:fldCharType="end"/>
      </w:r>
      <w:r>
        <w:rPr>
          <w:rFonts w:hint="eastAsia"/>
        </w:rPr>
        <w:t xml:space="preserve"> 各类标准数量占比图</w:t>
      </w:r>
    </w:p>
    <w:p w14:paraId="0AF1B8BD"/>
    <w:p w14:paraId="1748FA3E">
      <w:pPr>
        <w:jc w:val="center"/>
        <w:rPr>
          <w:szCs w:val="24"/>
        </w:rPr>
      </w:pPr>
      <w:r>
        <w:drawing>
          <wp:inline distT="0" distB="0" distL="0" distR="0">
            <wp:extent cx="4960620" cy="208026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960620" cy="2080260"/>
                    </a:xfrm>
                    <a:prstGeom prst="rect">
                      <a:avLst/>
                    </a:prstGeom>
                    <a:noFill/>
                    <a:ln>
                      <a:noFill/>
                    </a:ln>
                  </pic:spPr>
                </pic:pic>
              </a:graphicData>
            </a:graphic>
          </wp:inline>
        </w:drawing>
      </w:r>
    </w:p>
    <w:p w14:paraId="7C9BA46F">
      <w:r>
        <w:t>图3-</w:t>
      </w:r>
      <w:r>
        <w:fldChar w:fldCharType="begin"/>
      </w:r>
      <w:r>
        <w:instrText xml:space="preserve"> </w:instrText>
      </w:r>
      <w:r>
        <w:rPr>
          <w:rFonts w:hint="eastAsia"/>
        </w:rPr>
        <w:instrText xml:space="preserve">SEQ 图3- \* ARABIC</w:instrText>
      </w:r>
      <w:r>
        <w:instrText xml:space="preserve"> </w:instrText>
      </w:r>
      <w:r>
        <w:fldChar w:fldCharType="separate"/>
      </w:r>
      <w:r>
        <w:t>7</w:t>
      </w:r>
      <w:r>
        <w:fldChar w:fldCharType="end"/>
      </w:r>
      <w:r>
        <w:rPr>
          <w:rFonts w:hint="eastAsia"/>
        </w:rPr>
        <w:t xml:space="preserve"> 设计标识及运行标识情况</w:t>
      </w:r>
    </w:p>
    <w:p w14:paraId="00E0CFE5"/>
    <w:p w14:paraId="60D63152">
      <w:pPr>
        <w:jc w:val="center"/>
        <w:rPr>
          <w:szCs w:val="21"/>
        </w:rPr>
      </w:pPr>
      <w:r>
        <w:drawing>
          <wp:inline distT="0" distB="0" distL="0" distR="0">
            <wp:extent cx="5021580" cy="2194560"/>
            <wp:effectExtent l="0" t="0" r="762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021580" cy="2194560"/>
                    </a:xfrm>
                    <a:prstGeom prst="rect">
                      <a:avLst/>
                    </a:prstGeom>
                    <a:noFill/>
                    <a:ln>
                      <a:noFill/>
                    </a:ln>
                  </pic:spPr>
                </pic:pic>
              </a:graphicData>
            </a:graphic>
          </wp:inline>
        </w:drawing>
      </w:r>
    </w:p>
    <w:p w14:paraId="0D8EB0A9">
      <w:r>
        <w:t>图3-</w:t>
      </w:r>
      <w:r>
        <w:fldChar w:fldCharType="begin"/>
      </w:r>
      <w:r>
        <w:instrText xml:space="preserve"> </w:instrText>
      </w:r>
      <w:r>
        <w:rPr>
          <w:rFonts w:hint="eastAsia"/>
        </w:rPr>
        <w:instrText xml:space="preserve">SEQ 图3- \* ARABIC</w:instrText>
      </w:r>
      <w:r>
        <w:instrText xml:space="preserve"> </w:instrText>
      </w:r>
      <w:r>
        <w:fldChar w:fldCharType="separate"/>
      </w:r>
      <w:r>
        <w:t>8</w:t>
      </w:r>
      <w:r>
        <w:fldChar w:fldCharType="end"/>
      </w:r>
      <w:r>
        <w:rPr>
          <w:rFonts w:hint="eastAsia"/>
        </w:rPr>
        <w:t xml:space="preserve"> 累计绿色建筑标识数量</w:t>
      </w:r>
    </w:p>
    <w:p w14:paraId="5F0B4774">
      <w:pPr>
        <w:jc w:val="center"/>
        <w:rPr>
          <w:szCs w:val="24"/>
        </w:rPr>
      </w:pPr>
      <w:r>
        <w:drawing>
          <wp:inline distT="0" distB="0" distL="0" distR="0">
            <wp:extent cx="4648200" cy="28041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648200" cy="2804160"/>
                    </a:xfrm>
                    <a:prstGeom prst="rect">
                      <a:avLst/>
                    </a:prstGeom>
                    <a:noFill/>
                    <a:ln>
                      <a:noFill/>
                    </a:ln>
                  </pic:spPr>
                </pic:pic>
              </a:graphicData>
            </a:graphic>
          </wp:inline>
        </w:drawing>
      </w:r>
    </w:p>
    <w:p w14:paraId="5148521B">
      <w:r>
        <w:t>图3-</w:t>
      </w:r>
      <w:r>
        <w:fldChar w:fldCharType="begin"/>
      </w:r>
      <w:r>
        <w:instrText xml:space="preserve"> </w:instrText>
      </w:r>
      <w:r>
        <w:rPr>
          <w:rFonts w:hint="eastAsia"/>
        </w:rPr>
        <w:instrText xml:space="preserve">SEQ 图3- \* ARABIC</w:instrText>
      </w:r>
      <w:r>
        <w:instrText xml:space="preserve"> </w:instrText>
      </w:r>
      <w:r>
        <w:fldChar w:fldCharType="separate"/>
      </w:r>
      <w:r>
        <w:t>9</w:t>
      </w:r>
      <w:r>
        <w:fldChar w:fldCharType="end"/>
      </w:r>
      <w:r>
        <w:rPr>
          <w:rFonts w:hint="eastAsia"/>
        </w:rPr>
        <w:t xml:space="preserve">  2018年各省建筑可再生能源利用情况</w:t>
      </w:r>
    </w:p>
    <w:p w14:paraId="0AE60AF8"/>
    <w:p w14:paraId="5F9536C4">
      <w:pPr>
        <w:pStyle w:val="3"/>
        <w:ind w:left="0" w:firstLine="482"/>
        <w:rPr>
          <w:rFonts w:ascii="黑体" w:hAnsi="黑体" w:eastAsia="黑体"/>
        </w:rPr>
      </w:pPr>
      <w:r>
        <w:rPr>
          <w:rFonts w:hint="eastAsia" w:ascii="黑体" w:hAnsi="黑体" w:eastAsia="黑体"/>
        </w:rPr>
        <w:t>辽宁省“十三五”时期建筑节能与绿色建筑工作情况</w:t>
      </w:r>
    </w:p>
    <w:p w14:paraId="506C8F86">
      <w:pPr>
        <w:pStyle w:val="4"/>
        <w:numPr>
          <w:ilvl w:val="2"/>
          <w:numId w:val="9"/>
        </w:numPr>
        <w:spacing w:before="0" w:beforeLines="0"/>
        <w:rPr>
          <w:rFonts w:ascii="楷体" w:hAnsi="楷体" w:eastAsia="楷体"/>
          <w:b w:val="0"/>
          <w:bCs/>
          <w:sz w:val="28"/>
          <w:szCs w:val="28"/>
        </w:rPr>
      </w:pPr>
      <w:r>
        <w:rPr>
          <w:rFonts w:hint="eastAsia" w:ascii="楷体" w:hAnsi="楷体" w:eastAsia="楷体"/>
          <w:b w:val="0"/>
          <w:bCs/>
          <w:sz w:val="28"/>
          <w:szCs w:val="28"/>
        </w:rPr>
        <w:t>十三五时期相关目标设定</w:t>
      </w:r>
    </w:p>
    <w:p w14:paraId="5E5141F7">
      <w:pPr>
        <w:snapToGrid w:val="0"/>
        <w:spacing w:before="120" w:line="360" w:lineRule="auto"/>
        <w:ind w:firstLine="482"/>
        <w:rPr>
          <w:b/>
          <w:bCs/>
        </w:rPr>
      </w:pPr>
      <w:r>
        <w:rPr>
          <w:b/>
          <w:bCs/>
        </w:rPr>
        <w:t>1</w:t>
      </w:r>
      <w:r>
        <w:rPr>
          <w:rFonts w:hint="eastAsia"/>
          <w:b/>
          <w:bCs/>
        </w:rPr>
        <w:t>、省级</w:t>
      </w:r>
      <w:r>
        <w:rPr>
          <w:b/>
          <w:bCs/>
        </w:rPr>
        <w:t>规划</w:t>
      </w:r>
    </w:p>
    <w:p w14:paraId="34063154">
      <w:pPr>
        <w:snapToGrid w:val="0"/>
        <w:spacing w:before="120" w:line="360" w:lineRule="auto"/>
        <w:ind w:firstLine="482"/>
        <w:rPr>
          <w:b/>
          <w:bCs/>
        </w:rPr>
      </w:pPr>
      <w:r>
        <w:rPr>
          <w:rFonts w:hint="eastAsia"/>
          <w:b/>
          <w:bCs/>
        </w:rPr>
        <w:t xml:space="preserve">① </w:t>
      </w:r>
      <w:r>
        <w:rPr>
          <w:b/>
          <w:bCs/>
        </w:rPr>
        <w:t>《辽宁省国民经济和社会发展第十三个五年规划纲要》</w:t>
      </w:r>
    </w:p>
    <w:p w14:paraId="681D3BBD">
      <w:pPr>
        <w:snapToGrid w:val="0"/>
        <w:spacing w:before="120" w:line="360" w:lineRule="auto"/>
      </w:pPr>
      <w:r>
        <w:t>提出深入开展绿色建筑行动，推广居住建筑节能率75%和公共建筑节能率65%的设计标准。</w:t>
      </w:r>
    </w:p>
    <w:p w14:paraId="7081A13A">
      <w:pPr>
        <w:snapToGrid w:val="0"/>
        <w:spacing w:before="120" w:line="360" w:lineRule="auto"/>
        <w:ind w:firstLine="482"/>
        <w:rPr>
          <w:b/>
          <w:bCs/>
        </w:rPr>
      </w:pPr>
      <w:r>
        <w:rPr>
          <w:rFonts w:hint="eastAsia"/>
          <w:b/>
          <w:bCs/>
        </w:rPr>
        <w:t xml:space="preserve">② </w:t>
      </w:r>
      <w:r>
        <w:rPr>
          <w:b/>
          <w:bCs/>
        </w:rPr>
        <w:t>《辽宁省“十三五”节能减排综合工作实施方案》</w:t>
      </w:r>
    </w:p>
    <w:p w14:paraId="3E5C7D49">
      <w:pPr>
        <w:snapToGrid w:val="0"/>
        <w:spacing w:before="120" w:line="360" w:lineRule="auto"/>
      </w:pPr>
      <w:r>
        <w:rPr>
          <w:rFonts w:hint="eastAsia"/>
        </w:rPr>
        <w:t>一是提出强化建筑节能的要求。完善绿色建筑建设标准体系，严格执行建筑节能标准。实施绿色建筑全产业链发展计划，推行绿色施工方式，推广节能绿色建材、装配式和钢结构建筑。推动建筑节能宜居综合改造试点城市建设，鼓励老旧住宅节能改造与抗震加固改造、加装电梯等适老化改造同步实施。加快推进既有建筑节能和供热计量改造，大力推广可再生能源在建筑上的应用，鼓励利用太阳能、浅层地热能、空气热能、工业余热等解决建筑用能需求。到</w:t>
      </w:r>
      <w:r>
        <w:t>2020</w:t>
      </w:r>
      <w:r>
        <w:rPr>
          <w:rFonts w:hint="eastAsia"/>
        </w:rPr>
        <w:t>年，城镇绿色建筑占当年新建建筑比例达到</w:t>
      </w:r>
      <w:r>
        <w:t>50%</w:t>
      </w:r>
      <w:r>
        <w:rPr>
          <w:rFonts w:hint="eastAsia"/>
        </w:rPr>
        <w:t>以上，基本完成全省有条件的城镇居住建筑的节能改造。二是提出加强公共机构节能的要求。公共机构率先执行绿色建筑标准，新建建筑全部达到绿色建筑标准。激发公共机构节能服务的市场需求，以合同能源管理、政府和社会资本合作（</w:t>
      </w:r>
      <w:r>
        <w:t>PPP</w:t>
      </w:r>
      <w:r>
        <w:rPr>
          <w:rFonts w:hint="eastAsia"/>
        </w:rPr>
        <w:t>）等市场化手段为依托，积极推进公共机构节能综合改造。开展节约型公共机构示范创建活动，创建</w:t>
      </w:r>
      <w:r>
        <w:t>120</w:t>
      </w:r>
      <w:r>
        <w:rPr>
          <w:rFonts w:hint="eastAsia"/>
        </w:rPr>
        <w:t>个国家级示范单位、</w:t>
      </w:r>
      <w:r>
        <w:t>500</w:t>
      </w:r>
      <w:r>
        <w:rPr>
          <w:rFonts w:hint="eastAsia"/>
        </w:rPr>
        <w:t>个省级示范单位，实现</w:t>
      </w:r>
      <w:r>
        <w:t>“</w:t>
      </w:r>
      <w:r>
        <w:rPr>
          <w:rFonts w:hint="eastAsia"/>
        </w:rPr>
        <w:t>县县有示范</w:t>
      </w:r>
      <w:r>
        <w:t>”</w:t>
      </w:r>
      <w:r>
        <w:rPr>
          <w:rFonts w:hint="eastAsia"/>
        </w:rPr>
        <w:t>的目标。推动公共机构能源审计试点。引领新能源汽车的消费和应用，逐步提高配备更新公务用车中新能源汽车的比例，新建和既有停车场要规划建设配备充电设施或预留充电设施安装条件。到</w:t>
      </w:r>
      <w:r>
        <w:t>2020</w:t>
      </w:r>
      <w:r>
        <w:rPr>
          <w:rFonts w:hint="eastAsia"/>
        </w:rPr>
        <w:t>年，公共机构单位建筑面积能耗和人均能耗均比</w:t>
      </w:r>
      <w:r>
        <w:t>2015</w:t>
      </w:r>
      <w:r>
        <w:rPr>
          <w:rFonts w:hint="eastAsia"/>
        </w:rPr>
        <w:t>年下降</w:t>
      </w:r>
      <w:r>
        <w:t>11%</w:t>
      </w:r>
      <w:r>
        <w:rPr>
          <w:rFonts w:hint="eastAsia"/>
        </w:rPr>
        <w:t>。三是推动建筑垃圾集中处理和资源化利用。四是健全绿色标识认证体系，完善绿色建筑、绿色建材标识和认证制度，建立可追溯的绿色建材评价和信息管理系统。</w:t>
      </w:r>
    </w:p>
    <w:p w14:paraId="6D37C2A9">
      <w:pPr>
        <w:snapToGrid w:val="0"/>
        <w:spacing w:before="120" w:line="360" w:lineRule="auto"/>
        <w:ind w:firstLine="482"/>
      </w:pPr>
      <w:r>
        <w:rPr>
          <w:rFonts w:hint="eastAsia"/>
          <w:b/>
          <w:bCs/>
        </w:rPr>
        <w:t xml:space="preserve">③ </w:t>
      </w:r>
      <w:r>
        <w:rPr>
          <w:b/>
          <w:bCs/>
        </w:rPr>
        <w:t>《辽宁省住房和城乡建设事业发展“十三五”规划》</w:t>
      </w:r>
    </w:p>
    <w:p w14:paraId="21076C56">
      <w:pPr>
        <w:snapToGrid w:val="0"/>
        <w:spacing w:before="120" w:line="360" w:lineRule="auto"/>
      </w:pPr>
      <w:r>
        <w:rPr>
          <w:rFonts w:hint="eastAsia"/>
        </w:rPr>
        <w:t>提出进一步推进建筑节能的要求。到</w:t>
      </w:r>
      <w:r>
        <w:t>2020</w:t>
      </w:r>
      <w:r>
        <w:rPr>
          <w:rFonts w:hint="eastAsia"/>
        </w:rPr>
        <w:t>年，城镇居住建筑普遍执行节能率</w:t>
      </w:r>
      <w:r>
        <w:t>75%</w:t>
      </w:r>
      <w:r>
        <w:rPr>
          <w:rFonts w:hint="eastAsia"/>
        </w:rPr>
        <w:t>设计标准和公共建筑普遍执行节能率</w:t>
      </w:r>
      <w:r>
        <w:t>65%</w:t>
      </w:r>
      <w:r>
        <w:rPr>
          <w:rFonts w:hint="eastAsia"/>
        </w:rPr>
        <w:t>设计标准；预期完成既有居住建筑供热计量和节能改造（即</w:t>
      </w:r>
      <w:r>
        <w:t>“</w:t>
      </w:r>
      <w:r>
        <w:rPr>
          <w:rFonts w:hint="eastAsia"/>
        </w:rPr>
        <w:t>暖房子</w:t>
      </w:r>
      <w:r>
        <w:t>”</w:t>
      </w:r>
      <w:r>
        <w:rPr>
          <w:rFonts w:hint="eastAsia"/>
        </w:rPr>
        <w:t>工程）</w:t>
      </w:r>
      <w:r>
        <w:t>8000</w:t>
      </w:r>
      <w:r>
        <w:rPr>
          <w:rFonts w:hint="eastAsia"/>
        </w:rPr>
        <w:t>万平方米；完成可再生能源建筑应用面积</w:t>
      </w:r>
      <w:r>
        <w:t>4000</w:t>
      </w:r>
      <w:r>
        <w:rPr>
          <w:rFonts w:hint="eastAsia"/>
        </w:rPr>
        <w:t>万平方米；预期绿色建筑占当年新建建筑比例达到</w:t>
      </w:r>
      <w:r>
        <w:t>50%</w:t>
      </w:r>
      <w:r>
        <w:rPr>
          <w:rFonts w:hint="eastAsia"/>
        </w:rPr>
        <w:t>。建筑能耗统计报表制度进一步完善，实现省、市、县（区）统计系统互联互通；基本使用新型墙体材料和高效节能门窗，采用建筑产业现代化方式建造的住宅新开工面积占住宅新开工总面积比例逐年提高；建设行业标准化工作不断加强，工程建设标准体系不断完善；工程质量检测机构管理信息系统基本建成，实现检测数据即时上传。</w:t>
      </w:r>
    </w:p>
    <w:p w14:paraId="6A8B110B">
      <w:pPr>
        <w:ind w:firstLine="482"/>
        <w:rPr>
          <w:b/>
          <w:bCs/>
        </w:rPr>
      </w:pPr>
      <w:r>
        <w:rPr>
          <w:rFonts w:hint="eastAsia"/>
          <w:b/>
          <w:bCs/>
        </w:rPr>
        <w:t xml:space="preserve">④ </w:t>
      </w:r>
      <w:r>
        <w:rPr>
          <w:b/>
          <w:bCs/>
        </w:rPr>
        <w:t>《辽宁五大区域建设发展三年计划（2018-2020年）》</w:t>
      </w:r>
    </w:p>
    <w:p w14:paraId="68A6488D">
      <w:r>
        <w:rPr>
          <w:rFonts w:hint="eastAsia"/>
        </w:rPr>
        <w:t>构建科技创新中心、专业物流体系和智慧城市群，全力打造以沈阳为龙头的东北创新中心、区域金融中心、东北人才中心和东北亚物流中心。</w:t>
      </w:r>
    </w:p>
    <w:p w14:paraId="1ED1CF11">
      <w:pPr>
        <w:snapToGrid w:val="0"/>
        <w:spacing w:before="120" w:line="360" w:lineRule="auto"/>
        <w:ind w:firstLine="482"/>
      </w:pPr>
      <w:r>
        <w:rPr>
          <w:rFonts w:hint="eastAsia"/>
          <w:b/>
          <w:bCs/>
        </w:rPr>
        <w:t>2、相关政策</w:t>
      </w:r>
    </w:p>
    <w:p w14:paraId="53BBB1F2">
      <w:pPr>
        <w:snapToGrid w:val="0"/>
        <w:spacing w:before="120" w:line="360" w:lineRule="auto"/>
      </w:pPr>
      <w:r>
        <w:t>2020</w:t>
      </w:r>
      <w:r>
        <w:rPr>
          <w:rFonts w:hint="eastAsia"/>
        </w:rPr>
        <w:t>年《辽宁省人民政府办公厅关于促进建筑业高质量发展的意见》指出</w:t>
      </w:r>
      <w:r>
        <w:t>“</w:t>
      </w:r>
      <w:r>
        <w:rPr>
          <w:rFonts w:hint="eastAsia"/>
        </w:rPr>
        <w:t>积极发展装配式建筑。各地区应在新建民用建筑建设用地规划条件、项目建设条件中明确装配式建筑比例、装配率、评价等级等要求，在施工图审查和竣工验收备案环节予以把关。对被评定为省级及以上装配式建筑产业基地、示范项目的建筑业企业，在类似项目招标时应设置加分条件，鼓励市县政府制定相应的奖励政策。</w:t>
      </w:r>
      <w:r>
        <w:t>”</w:t>
      </w:r>
    </w:p>
    <w:p w14:paraId="19B111C1">
      <w:pPr>
        <w:snapToGrid w:val="0"/>
        <w:spacing w:before="120" w:line="360" w:lineRule="auto"/>
      </w:pPr>
      <w:r>
        <w:t>2019</w:t>
      </w:r>
      <w:r>
        <w:rPr>
          <w:rFonts w:hint="eastAsia"/>
        </w:rPr>
        <w:t>年，《辽宁省推广绿色建筑实施意见》提出：</w:t>
      </w:r>
      <w:r>
        <w:t>“</w:t>
      </w:r>
      <w:r>
        <w:rPr>
          <w:rFonts w:hint="eastAsia"/>
        </w:rPr>
        <w:t>到</w:t>
      </w:r>
      <w:r>
        <w:t>2025</w:t>
      </w:r>
      <w:r>
        <w:rPr>
          <w:rFonts w:hint="eastAsia"/>
        </w:rPr>
        <w:t>年底，城镇新建建筑中绿色建筑推广比例大幅提高，装配式建筑占新建建筑面积比例逐年提高，新建节能标准加快提升，既有建筑节能改造有序推进，可再生能源建筑应用规模逐步扩大，建筑总体能耗强度持续下降，建筑能源消费结构逐步改善，建设科技创新能力不断提升，科技成果转化推广速度进一步加快，建筑领域绿色发展水平明显提高</w:t>
      </w:r>
      <w:r>
        <w:t>”</w:t>
      </w:r>
      <w:r>
        <w:rPr>
          <w:rFonts w:hint="eastAsia"/>
        </w:rPr>
        <w:t>。</w:t>
      </w:r>
    </w:p>
    <w:p w14:paraId="4B9C38B5">
      <w:pPr>
        <w:snapToGrid w:val="0"/>
        <w:spacing w:before="120" w:line="360" w:lineRule="auto"/>
      </w:pPr>
      <w:r>
        <w:rPr>
          <w:rFonts w:hint="eastAsia"/>
        </w:rPr>
        <w:t>2</w:t>
      </w:r>
      <w:r>
        <w:t>017</w:t>
      </w:r>
      <w:r>
        <w:rPr>
          <w:rFonts w:hint="eastAsia"/>
        </w:rPr>
        <w:t>年，《辽宁省推进清洁取暖三年滚动计划（</w:t>
      </w:r>
      <w:r>
        <w:t>2018—2020年）》</w:t>
      </w:r>
      <w:r>
        <w:rPr>
          <w:rFonts w:hint="eastAsia"/>
        </w:rPr>
        <w:t>提出主要目标如下：“按照由城镇到农村分层次全面推进的总体思路，加快提高清洁取暖比重。城镇优先发展集中供暖，集中供暖难以覆盖的，加快实施各类分散式清洁取暖。农村地区优先利用地热、生物质、太阳能等清洁能源取暖，有条件的地区发展天然气或电供暖，适当扩大集中供暖延伸覆盖范围。不能通过清洁取暖替代散烧煤取暖的，重点利用‘洁净型煤</w:t>
      </w:r>
      <w:r>
        <w:t>+环保炊具</w:t>
      </w:r>
      <w:r>
        <w:rPr>
          <w:rFonts w:hint="eastAsia"/>
        </w:rPr>
        <w:t>’</w:t>
      </w:r>
      <w:r>
        <w:t>的模式替代散烧煤取暖。力争2020年，全省清洁取暖率达到70%以上。</w:t>
      </w:r>
      <w:r>
        <w:rPr>
          <w:rFonts w:hint="eastAsia"/>
        </w:rPr>
        <w:t>”</w:t>
      </w:r>
    </w:p>
    <w:p w14:paraId="1183028D">
      <w:pPr>
        <w:snapToGrid w:val="0"/>
        <w:spacing w:before="120" w:line="360" w:lineRule="auto"/>
      </w:pPr>
      <w:r>
        <w:rPr>
          <w:rFonts w:hint="eastAsia"/>
        </w:rPr>
        <w:t>其中，涉及沈阳市的重点任务包括：新增“煤改气”清洁取暖主要集中在城镇地区，重点在沈阳等城市推进燃气热电联产项目。</w:t>
      </w:r>
      <w:r>
        <w:t>2018</w:t>
      </w:r>
      <w:r>
        <w:rPr>
          <w:rFonts w:hint="eastAsia"/>
        </w:rPr>
        <w:t>年前，沈阳市推进</w:t>
      </w:r>
      <w:r>
        <w:t>1</w:t>
      </w:r>
      <w:r>
        <w:rPr>
          <w:rFonts w:hint="eastAsia"/>
        </w:rPr>
        <w:t>个天然气分布式能源项目。到</w:t>
      </w:r>
      <w:r>
        <w:t>2020</w:t>
      </w:r>
      <w:r>
        <w:rPr>
          <w:rFonts w:hint="eastAsia"/>
        </w:rPr>
        <w:t>年，沈阳天然气分布式能源项目达到</w:t>
      </w:r>
      <w:r>
        <w:t>5</w:t>
      </w:r>
      <w:r>
        <w:rPr>
          <w:rFonts w:hint="eastAsia"/>
        </w:rPr>
        <w:t>个以上，天然气取暖面积达到</w:t>
      </w:r>
      <w:r>
        <w:t>1000</w:t>
      </w:r>
      <w:r>
        <w:rPr>
          <w:rFonts w:hint="eastAsia"/>
        </w:rPr>
        <w:t>万平方米以上。以生物质资源较丰富的沈阳等为重点，发展生物质热电和生物质直燃供电。</w:t>
      </w:r>
    </w:p>
    <w:p w14:paraId="1A4307D9">
      <w:pPr>
        <w:snapToGrid w:val="0"/>
        <w:spacing w:before="120" w:line="360" w:lineRule="auto"/>
      </w:pPr>
      <w:r>
        <w:rPr>
          <w:rFonts w:hint="eastAsia"/>
        </w:rPr>
        <w:t>该计划在附件中提出辽宁省各市清洁取暖部分目标如下。</w:t>
      </w:r>
    </w:p>
    <w:p w14:paraId="747A66D8">
      <w:r>
        <w:t>表3-</w:t>
      </w:r>
      <w:r>
        <w:fldChar w:fldCharType="begin"/>
      </w:r>
      <w:r>
        <w:instrText xml:space="preserve"> SEQ 表3- \* ARABIC </w:instrText>
      </w:r>
      <w:r>
        <w:fldChar w:fldCharType="separate"/>
      </w:r>
      <w:r>
        <w:t>4</w:t>
      </w:r>
      <w:r>
        <w:fldChar w:fldCharType="end"/>
      </w:r>
      <w:r>
        <w:t xml:space="preserve"> </w:t>
      </w:r>
      <w:r>
        <w:rPr>
          <w:rFonts w:hint="eastAsia"/>
        </w:rPr>
        <w:t>清洁取暖年度目标（单位：亿平方米）</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27"/>
        <w:gridCol w:w="1173"/>
        <w:gridCol w:w="1378"/>
        <w:gridCol w:w="1122"/>
        <w:gridCol w:w="1430"/>
        <w:gridCol w:w="1071"/>
      </w:tblGrid>
      <w:tr w14:paraId="0B32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15334245">
            <w:pPr>
              <w:pStyle w:val="40"/>
            </w:pPr>
            <w:r>
              <w:rPr>
                <w:rFonts w:hint="eastAsia"/>
              </w:rPr>
              <w:t>时间</w:t>
            </w:r>
          </w:p>
        </w:tc>
        <w:tc>
          <w:tcPr>
            <w:tcW w:w="2500" w:type="dxa"/>
            <w:gridSpan w:val="2"/>
          </w:tcPr>
          <w:p w14:paraId="1F65E1D8">
            <w:pPr>
              <w:pStyle w:val="40"/>
            </w:pPr>
            <w:r>
              <w:rPr>
                <w:rFonts w:hint="eastAsia"/>
              </w:rPr>
              <w:t>2</w:t>
            </w:r>
            <w:r>
              <w:t>018</w:t>
            </w:r>
            <w:r>
              <w:rPr>
                <w:rFonts w:hint="eastAsia"/>
              </w:rPr>
              <w:t>年</w:t>
            </w:r>
          </w:p>
        </w:tc>
        <w:tc>
          <w:tcPr>
            <w:tcW w:w="2500" w:type="dxa"/>
            <w:gridSpan w:val="2"/>
          </w:tcPr>
          <w:p w14:paraId="430E6CC5">
            <w:pPr>
              <w:pStyle w:val="40"/>
            </w:pPr>
            <w:r>
              <w:rPr>
                <w:rFonts w:hint="eastAsia"/>
              </w:rPr>
              <w:t>2</w:t>
            </w:r>
            <w:r>
              <w:t>019</w:t>
            </w:r>
            <w:r>
              <w:rPr>
                <w:rFonts w:hint="eastAsia"/>
              </w:rPr>
              <w:t>年</w:t>
            </w:r>
          </w:p>
        </w:tc>
        <w:tc>
          <w:tcPr>
            <w:tcW w:w="2501" w:type="dxa"/>
            <w:gridSpan w:val="2"/>
          </w:tcPr>
          <w:p w14:paraId="4062DB59">
            <w:pPr>
              <w:pStyle w:val="40"/>
            </w:pPr>
            <w:r>
              <w:rPr>
                <w:rFonts w:hint="eastAsia"/>
              </w:rPr>
              <w:t>2</w:t>
            </w:r>
            <w:r>
              <w:t>020</w:t>
            </w:r>
            <w:r>
              <w:rPr>
                <w:rFonts w:hint="eastAsia"/>
              </w:rPr>
              <w:t>年</w:t>
            </w:r>
          </w:p>
        </w:tc>
      </w:tr>
      <w:tr w14:paraId="34DA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A849323">
            <w:pPr>
              <w:pStyle w:val="40"/>
            </w:pPr>
            <w:r>
              <w:rPr>
                <w:rFonts w:hint="eastAsia"/>
              </w:rPr>
              <w:t>范围</w:t>
            </w:r>
          </w:p>
        </w:tc>
        <w:tc>
          <w:tcPr>
            <w:tcW w:w="1327" w:type="dxa"/>
            <w:vAlign w:val="center"/>
          </w:tcPr>
          <w:p w14:paraId="6D4BF456">
            <w:pPr>
              <w:pStyle w:val="40"/>
            </w:pPr>
            <w:r>
              <w:rPr>
                <w:rFonts w:hint="eastAsia"/>
              </w:rPr>
              <w:t>总采暖面积</w:t>
            </w:r>
          </w:p>
        </w:tc>
        <w:tc>
          <w:tcPr>
            <w:tcW w:w="1173" w:type="dxa"/>
            <w:vAlign w:val="center"/>
          </w:tcPr>
          <w:p w14:paraId="78C11EEA">
            <w:pPr>
              <w:pStyle w:val="40"/>
            </w:pPr>
            <w:r>
              <w:rPr>
                <w:rFonts w:hint="eastAsia"/>
              </w:rPr>
              <w:t>清洁取暖比例</w:t>
            </w:r>
          </w:p>
        </w:tc>
        <w:tc>
          <w:tcPr>
            <w:tcW w:w="1378" w:type="dxa"/>
            <w:vAlign w:val="center"/>
          </w:tcPr>
          <w:p w14:paraId="602E5BBF">
            <w:pPr>
              <w:pStyle w:val="40"/>
            </w:pPr>
            <w:r>
              <w:rPr>
                <w:rFonts w:hint="eastAsia"/>
              </w:rPr>
              <w:t>总采暖面积</w:t>
            </w:r>
          </w:p>
        </w:tc>
        <w:tc>
          <w:tcPr>
            <w:tcW w:w="1122" w:type="dxa"/>
            <w:vAlign w:val="center"/>
          </w:tcPr>
          <w:p w14:paraId="2A86C47F">
            <w:pPr>
              <w:pStyle w:val="40"/>
            </w:pPr>
            <w:r>
              <w:rPr>
                <w:rFonts w:hint="eastAsia"/>
              </w:rPr>
              <w:t>清洁取暖比例</w:t>
            </w:r>
          </w:p>
        </w:tc>
        <w:tc>
          <w:tcPr>
            <w:tcW w:w="1430" w:type="dxa"/>
            <w:vAlign w:val="center"/>
          </w:tcPr>
          <w:p w14:paraId="682B837F">
            <w:pPr>
              <w:pStyle w:val="40"/>
            </w:pPr>
            <w:r>
              <w:rPr>
                <w:rFonts w:hint="eastAsia"/>
              </w:rPr>
              <w:t>总采暖面积</w:t>
            </w:r>
          </w:p>
        </w:tc>
        <w:tc>
          <w:tcPr>
            <w:tcW w:w="1071" w:type="dxa"/>
            <w:vAlign w:val="center"/>
          </w:tcPr>
          <w:p w14:paraId="69A30AFC">
            <w:pPr>
              <w:pStyle w:val="40"/>
            </w:pPr>
            <w:r>
              <w:rPr>
                <w:rFonts w:hint="eastAsia"/>
              </w:rPr>
              <w:t>清洁取暖比例</w:t>
            </w:r>
          </w:p>
        </w:tc>
      </w:tr>
      <w:tr w14:paraId="6F4B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37ACACB">
            <w:pPr>
              <w:pStyle w:val="40"/>
            </w:pPr>
            <w:r>
              <w:rPr>
                <w:rFonts w:hint="eastAsia"/>
              </w:rPr>
              <w:t>全省</w:t>
            </w:r>
          </w:p>
        </w:tc>
        <w:tc>
          <w:tcPr>
            <w:tcW w:w="1327" w:type="dxa"/>
            <w:vAlign w:val="center"/>
          </w:tcPr>
          <w:p w14:paraId="39B4AE6C">
            <w:pPr>
              <w:pStyle w:val="40"/>
            </w:pPr>
            <w:r>
              <w:rPr>
                <w:rFonts w:hint="eastAsia"/>
              </w:rPr>
              <w:t>1</w:t>
            </w:r>
            <w:r>
              <w:t>6.8</w:t>
            </w:r>
          </w:p>
        </w:tc>
        <w:tc>
          <w:tcPr>
            <w:tcW w:w="1173" w:type="dxa"/>
            <w:vAlign w:val="center"/>
          </w:tcPr>
          <w:p w14:paraId="01553B0E">
            <w:pPr>
              <w:pStyle w:val="40"/>
            </w:pPr>
            <w:r>
              <w:rPr>
                <w:rFonts w:hint="eastAsia"/>
              </w:rPr>
              <w:t>5</w:t>
            </w:r>
            <w:r>
              <w:t>7.3%</w:t>
            </w:r>
          </w:p>
        </w:tc>
        <w:tc>
          <w:tcPr>
            <w:tcW w:w="1378" w:type="dxa"/>
            <w:vAlign w:val="center"/>
          </w:tcPr>
          <w:p w14:paraId="32E86304">
            <w:pPr>
              <w:pStyle w:val="40"/>
            </w:pPr>
            <w:r>
              <w:rPr>
                <w:rFonts w:hint="eastAsia"/>
              </w:rPr>
              <w:t>1</w:t>
            </w:r>
            <w:r>
              <w:t>7.3</w:t>
            </w:r>
          </w:p>
        </w:tc>
        <w:tc>
          <w:tcPr>
            <w:tcW w:w="1122" w:type="dxa"/>
            <w:vAlign w:val="center"/>
          </w:tcPr>
          <w:p w14:paraId="38B06FA6">
            <w:pPr>
              <w:pStyle w:val="40"/>
            </w:pPr>
            <w:r>
              <w:rPr>
                <w:rFonts w:hint="eastAsia"/>
              </w:rPr>
              <w:t>6</w:t>
            </w:r>
            <w:r>
              <w:t>3.4%</w:t>
            </w:r>
          </w:p>
        </w:tc>
        <w:tc>
          <w:tcPr>
            <w:tcW w:w="1430" w:type="dxa"/>
            <w:vAlign w:val="center"/>
          </w:tcPr>
          <w:p w14:paraId="22A52C34">
            <w:pPr>
              <w:pStyle w:val="40"/>
            </w:pPr>
            <w:r>
              <w:rPr>
                <w:rFonts w:hint="eastAsia"/>
              </w:rPr>
              <w:t>1</w:t>
            </w:r>
            <w:r>
              <w:t>7.8</w:t>
            </w:r>
          </w:p>
        </w:tc>
        <w:tc>
          <w:tcPr>
            <w:tcW w:w="1071" w:type="dxa"/>
            <w:vAlign w:val="center"/>
          </w:tcPr>
          <w:p w14:paraId="08E6929F">
            <w:pPr>
              <w:pStyle w:val="40"/>
            </w:pPr>
            <w:r>
              <w:rPr>
                <w:rFonts w:hint="eastAsia"/>
              </w:rPr>
              <w:t>7</w:t>
            </w:r>
            <w:r>
              <w:t>1.1%</w:t>
            </w:r>
          </w:p>
        </w:tc>
      </w:tr>
      <w:tr w14:paraId="58E3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6799944">
            <w:pPr>
              <w:pStyle w:val="40"/>
            </w:pPr>
            <w:r>
              <w:rPr>
                <w:rFonts w:hint="eastAsia"/>
              </w:rPr>
              <w:t>沈阳</w:t>
            </w:r>
          </w:p>
        </w:tc>
        <w:tc>
          <w:tcPr>
            <w:tcW w:w="1327" w:type="dxa"/>
            <w:vAlign w:val="center"/>
          </w:tcPr>
          <w:p w14:paraId="638A802A">
            <w:pPr>
              <w:pStyle w:val="40"/>
            </w:pPr>
            <w:r>
              <w:rPr>
                <w:rFonts w:hint="eastAsia"/>
              </w:rPr>
              <w:t>3</w:t>
            </w:r>
            <w:r>
              <w:t>.77</w:t>
            </w:r>
          </w:p>
        </w:tc>
        <w:tc>
          <w:tcPr>
            <w:tcW w:w="1173" w:type="dxa"/>
            <w:vAlign w:val="center"/>
          </w:tcPr>
          <w:p w14:paraId="5B9E50A9">
            <w:pPr>
              <w:pStyle w:val="40"/>
            </w:pPr>
            <w:r>
              <w:rPr>
                <w:rFonts w:hint="eastAsia"/>
              </w:rPr>
              <w:t>6</w:t>
            </w:r>
            <w:r>
              <w:t>2.6%</w:t>
            </w:r>
          </w:p>
        </w:tc>
        <w:tc>
          <w:tcPr>
            <w:tcW w:w="1378" w:type="dxa"/>
            <w:vAlign w:val="center"/>
          </w:tcPr>
          <w:p w14:paraId="01BF8633">
            <w:pPr>
              <w:pStyle w:val="40"/>
            </w:pPr>
            <w:r>
              <w:rPr>
                <w:rFonts w:hint="eastAsia"/>
              </w:rPr>
              <w:t>3</w:t>
            </w:r>
            <w:r>
              <w:t>.88</w:t>
            </w:r>
          </w:p>
        </w:tc>
        <w:tc>
          <w:tcPr>
            <w:tcW w:w="1122" w:type="dxa"/>
            <w:vAlign w:val="center"/>
          </w:tcPr>
          <w:p w14:paraId="61D5B003">
            <w:pPr>
              <w:pStyle w:val="40"/>
            </w:pPr>
            <w:r>
              <w:rPr>
                <w:rFonts w:hint="eastAsia"/>
              </w:rPr>
              <w:t>7</w:t>
            </w:r>
            <w:r>
              <w:t>6.9%</w:t>
            </w:r>
          </w:p>
        </w:tc>
        <w:tc>
          <w:tcPr>
            <w:tcW w:w="1430" w:type="dxa"/>
            <w:vAlign w:val="center"/>
          </w:tcPr>
          <w:p w14:paraId="201B4CC9">
            <w:pPr>
              <w:pStyle w:val="40"/>
            </w:pPr>
            <w:r>
              <w:rPr>
                <w:rFonts w:hint="eastAsia"/>
              </w:rPr>
              <w:t>4</w:t>
            </w:r>
            <w:r>
              <w:t>.02</w:t>
            </w:r>
          </w:p>
        </w:tc>
        <w:tc>
          <w:tcPr>
            <w:tcW w:w="1071" w:type="dxa"/>
            <w:vAlign w:val="center"/>
          </w:tcPr>
          <w:p w14:paraId="5210F359">
            <w:pPr>
              <w:pStyle w:val="40"/>
            </w:pPr>
            <w:r>
              <w:rPr>
                <w:rFonts w:hint="eastAsia"/>
              </w:rPr>
              <w:t>8</w:t>
            </w:r>
            <w:r>
              <w:t>1.0%</w:t>
            </w:r>
          </w:p>
        </w:tc>
      </w:tr>
    </w:tbl>
    <w:p w14:paraId="7019D50B"/>
    <w:p w14:paraId="464372A8">
      <w:pPr>
        <w:pStyle w:val="4"/>
        <w:numPr>
          <w:ilvl w:val="2"/>
          <w:numId w:val="9"/>
        </w:numPr>
        <w:spacing w:before="0" w:beforeLines="0"/>
        <w:rPr>
          <w:rFonts w:ascii="楷体" w:hAnsi="楷体" w:eastAsia="楷体"/>
          <w:b w:val="0"/>
          <w:bCs/>
          <w:sz w:val="28"/>
          <w:szCs w:val="28"/>
        </w:rPr>
      </w:pPr>
      <w:r>
        <w:rPr>
          <w:rFonts w:hint="eastAsia" w:ascii="楷体" w:hAnsi="楷体" w:eastAsia="楷体"/>
          <w:b w:val="0"/>
          <w:bCs/>
          <w:sz w:val="28"/>
          <w:szCs w:val="28"/>
        </w:rPr>
        <w:t>十三五时期目标完成情况</w:t>
      </w:r>
    </w:p>
    <w:p w14:paraId="0F03C83D">
      <w:pPr>
        <w:snapToGrid w:val="0"/>
        <w:spacing w:before="120" w:line="360" w:lineRule="auto"/>
      </w:pPr>
      <w:r>
        <w:t>辽宁省在十三五期间的建筑节能与绿色建筑工作主要致力于绿色建筑发展、建筑节能能效提升、节能和供热计量改造、可再生能源在建筑上的应用方面，并设立了相应目标：到2020年城镇绿色建筑占当年新建建筑比例达到50%以上；城镇居住建筑普遍执行节能率75%设计标准和公共建筑65%设计标准；全省新建装配式建筑建筑面积占新建总建筑面积比例达到15%；基本完成全省有条件城镇居住建筑的节能改造，预计完成既有居住建筑供热计量和节能改造8000万平方米；完成可再生能源建筑应用面积4000万平方米。并提出近期达到新建民用建筑节能标准执行率在设计阶段达到100%</w:t>
      </w:r>
      <w:r>
        <w:rPr>
          <w:rFonts w:hint="eastAsia"/>
        </w:rPr>
        <w:t>，在竣工验收阶段达到</w:t>
      </w:r>
      <w:r>
        <w:t>99%</w:t>
      </w:r>
      <w:r>
        <w:rPr>
          <w:rFonts w:hint="eastAsia"/>
        </w:rPr>
        <w:t>以上，加快推进居住建筑</w:t>
      </w:r>
      <w:r>
        <w:t>75%</w:t>
      </w:r>
      <w:r>
        <w:rPr>
          <w:rFonts w:hint="eastAsia"/>
        </w:rPr>
        <w:t>节能标准的实施。具体开展工作有：标准体系完善、全产业链发展计划、绿色施工、绿色建材、装配式和钢结构建筑、可追溯绿色建材评级阿和信息管理系统的建立、建筑产业现代化方式建造、工程质量检测机构管理信息系统的建立、能耗统计报表制度的完善等。</w:t>
      </w:r>
      <w:r>
        <w:t>2018</w:t>
      </w:r>
      <w:r>
        <w:rPr>
          <w:rFonts w:hint="eastAsia"/>
        </w:rPr>
        <w:t>年</w:t>
      </w:r>
      <w:r>
        <w:t>11</w:t>
      </w:r>
      <w:r>
        <w:rPr>
          <w:rFonts w:hint="eastAsia"/>
        </w:rPr>
        <w:t>月，辽宁省第十三届人民代表大会常务委员第七次会议通过了《辽宁省绿色建筑条例》（以下简称《条例》），并于</w:t>
      </w:r>
      <w:r>
        <w:t>2019</w:t>
      </w:r>
      <w:r>
        <w:rPr>
          <w:rFonts w:hint="eastAsia"/>
        </w:rPr>
        <w:t>年</w:t>
      </w:r>
      <w:r>
        <w:t>2</w:t>
      </w:r>
      <w:r>
        <w:rPr>
          <w:rFonts w:hint="eastAsia"/>
        </w:rPr>
        <w:t>月</w:t>
      </w:r>
      <w:r>
        <w:t>1</w:t>
      </w:r>
      <w:r>
        <w:rPr>
          <w:rFonts w:hint="eastAsia"/>
        </w:rPr>
        <w:t>日开始实行。《条例》从全过程提出了绿色建筑的要求，明确了各方主体责任，鼓励了装配式、超低能耗建筑等建造方式或建造技术，并提出了关于绿色建筑的发展引导和激励政策，对辽宁省推进绿色建筑发展，促进社会进步、建设适宜人居环境，提升生态文明水平有重要意义。</w:t>
      </w:r>
      <w:r>
        <w:t>2019</w:t>
      </w:r>
      <w:r>
        <w:rPr>
          <w:rFonts w:hint="eastAsia"/>
        </w:rPr>
        <w:t>年</w:t>
      </w:r>
      <w:r>
        <w:t>8</w:t>
      </w:r>
      <w:r>
        <w:rPr>
          <w:rFonts w:hint="eastAsia"/>
        </w:rPr>
        <w:t>月</w:t>
      </w:r>
      <w:r>
        <w:t>30</w:t>
      </w:r>
      <w:r>
        <w:rPr>
          <w:rFonts w:hint="eastAsia"/>
        </w:rPr>
        <w:t>日，辽宁省住建厅会同当地多个部门，共同制定了《辽宁省推广绿色建筑实施意见》，为进一步落实《辽宁省绿色建筑条例》，全面推进辽宁省绿色建筑发展，促进建设产业转型升级，提高城乡生态宜居水平提供了重要指导。</w:t>
      </w:r>
    </w:p>
    <w:p w14:paraId="0C2C21C2"/>
    <w:p w14:paraId="2EAC05C1">
      <w:pPr>
        <w:pStyle w:val="3"/>
        <w:ind w:left="0" w:firstLine="482"/>
        <w:rPr>
          <w:rFonts w:ascii="黑体" w:hAnsi="黑体" w:eastAsia="黑体"/>
        </w:rPr>
      </w:pPr>
      <w:r>
        <w:rPr>
          <w:rFonts w:hint="eastAsia" w:ascii="黑体" w:hAnsi="黑体" w:eastAsia="黑体"/>
        </w:rPr>
        <w:t>沈阳市“十三五”时期建筑节能与绿色建筑工作情况</w:t>
      </w:r>
    </w:p>
    <w:p w14:paraId="5C0EFD68">
      <w:pPr>
        <w:pStyle w:val="4"/>
        <w:numPr>
          <w:ilvl w:val="2"/>
          <w:numId w:val="10"/>
        </w:numPr>
        <w:spacing w:before="0" w:beforeLines="0"/>
        <w:rPr>
          <w:rFonts w:ascii="楷体" w:hAnsi="楷体" w:eastAsia="楷体"/>
          <w:b w:val="0"/>
          <w:bCs/>
          <w:sz w:val="28"/>
          <w:szCs w:val="28"/>
        </w:rPr>
      </w:pPr>
      <w:r>
        <w:rPr>
          <w:rFonts w:hint="eastAsia" w:ascii="楷体" w:hAnsi="楷体" w:eastAsia="楷体"/>
          <w:b w:val="0"/>
          <w:bCs/>
          <w:sz w:val="28"/>
          <w:szCs w:val="28"/>
        </w:rPr>
        <w:t>十三五时期相关目标设定</w:t>
      </w:r>
    </w:p>
    <w:p w14:paraId="1563C198">
      <w:pPr>
        <w:snapToGrid w:val="0"/>
        <w:spacing w:before="120" w:line="360" w:lineRule="auto"/>
        <w:ind w:firstLine="482"/>
      </w:pPr>
      <w:bookmarkStart w:id="37" w:name="_Toc76743798"/>
      <w:r>
        <w:rPr>
          <w:rFonts w:hint="eastAsia"/>
          <w:b/>
          <w:bCs/>
        </w:rPr>
        <w:t>1、相关规划</w:t>
      </w:r>
      <w:bookmarkEnd w:id="37"/>
    </w:p>
    <w:p w14:paraId="45E88CB5">
      <w:pPr>
        <w:ind w:firstLine="482"/>
        <w:rPr>
          <w:b/>
          <w:bCs/>
        </w:rPr>
      </w:pPr>
      <w:r>
        <w:rPr>
          <w:rFonts w:hint="eastAsia"/>
          <w:b/>
          <w:bCs/>
        </w:rPr>
        <w:t xml:space="preserve">① </w:t>
      </w:r>
      <w:r>
        <w:rPr>
          <w:b/>
          <w:bCs/>
        </w:rPr>
        <w:t>《沈阳市国民经济和社会发展第十三个五年规划纲要》</w:t>
      </w:r>
    </w:p>
    <w:p w14:paraId="76F6EA32">
      <w:pPr>
        <w:snapToGrid w:val="0"/>
        <w:spacing w:before="120" w:line="360" w:lineRule="auto"/>
      </w:pPr>
      <w:r>
        <w:rPr>
          <w:rFonts w:hint="eastAsia"/>
        </w:rPr>
        <w:t>提出加快现代建筑产业体系建设，全面推广应用现代建筑产业化技术，成为全国现代建筑产业发展领军城市。</w:t>
      </w:r>
    </w:p>
    <w:p w14:paraId="31EBF5B8">
      <w:pPr>
        <w:ind w:firstLine="482"/>
        <w:rPr>
          <w:b/>
          <w:bCs/>
        </w:rPr>
      </w:pPr>
      <w:r>
        <w:rPr>
          <w:rFonts w:hint="eastAsia"/>
          <w:b/>
          <w:bCs/>
        </w:rPr>
        <w:t xml:space="preserve">② </w:t>
      </w:r>
      <w:r>
        <w:rPr>
          <w:b/>
          <w:bCs/>
        </w:rPr>
        <w:t>《沈阳市智慧城市总体规划（2016年-2020年）》</w:t>
      </w:r>
    </w:p>
    <w:p w14:paraId="3489849C">
      <w:pPr>
        <w:snapToGrid w:val="0"/>
        <w:spacing w:before="120" w:line="360" w:lineRule="auto"/>
      </w:pPr>
      <w:r>
        <w:rPr>
          <w:rFonts w:hint="eastAsia"/>
        </w:rPr>
        <w:t>沈阳市作为中国东北地区经济、文化、交通和商贸中心以及国家首批历史文化名城，也是国家全面创新改革试验区、国家级信息化与工业化融合试验区、全国创建社会信用体系建设示范城市、信息惠民国家试点城市，正面临新常态下产业转型升级、经济提质增效的重大挑战。紧紧抓住新一代信息技术创新发展的战略机遇，深化落实国家推进智慧城市、大数据、</w:t>
      </w:r>
      <w:r>
        <w:t>“</w:t>
      </w:r>
      <w:r>
        <w:rPr>
          <w:rFonts w:hint="eastAsia"/>
        </w:rPr>
        <w:t>互联网</w:t>
      </w:r>
      <w:r>
        <w:t>+”</w:t>
      </w:r>
      <w:r>
        <w:rPr>
          <w:rFonts w:hint="eastAsia"/>
        </w:rPr>
        <w:t>、</w:t>
      </w:r>
      <w:r>
        <w:t>“</w:t>
      </w:r>
      <w:r>
        <w:rPr>
          <w:rFonts w:hint="eastAsia"/>
        </w:rPr>
        <w:t>中国制造</w:t>
      </w:r>
      <w:r>
        <w:t>2025”</w:t>
      </w:r>
      <w:r>
        <w:rPr>
          <w:rFonts w:hint="eastAsia"/>
        </w:rPr>
        <w:t>的战略部署，以沈阳市经济社会发展的实际需求为导向，以改革创新为动力，以释放数据红利为核心，加快推进智慧沈阳建设，实现数据兴市、信息强市、智慧融市、创新立市，已成为沈阳打造特色鲜明的区域性中心城市、加速成为国家中心城市的战略抉择和必由之路。</w:t>
      </w:r>
    </w:p>
    <w:p w14:paraId="3F7AE1C6">
      <w:pPr>
        <w:ind w:firstLine="482"/>
        <w:rPr>
          <w:b/>
          <w:bCs/>
        </w:rPr>
      </w:pPr>
      <w:r>
        <w:rPr>
          <w:rFonts w:hint="eastAsia"/>
          <w:b/>
          <w:bCs/>
        </w:rPr>
        <w:t xml:space="preserve">③ </w:t>
      </w:r>
      <w:r>
        <w:rPr>
          <w:b/>
          <w:bCs/>
        </w:rPr>
        <w:t>《沈阳振兴发展战略规划》</w:t>
      </w:r>
    </w:p>
    <w:p w14:paraId="23981B58">
      <w:pPr>
        <w:snapToGrid w:val="0"/>
        <w:spacing w:before="120" w:line="360" w:lineRule="auto"/>
      </w:pPr>
      <w:r>
        <w:t>“</w:t>
      </w:r>
      <w:r>
        <w:rPr>
          <w:rFonts w:hint="eastAsia"/>
        </w:rPr>
        <w:t>十三五</w:t>
      </w:r>
      <w:r>
        <w:t>”</w:t>
      </w:r>
      <w:r>
        <w:rPr>
          <w:rFonts w:hint="eastAsia"/>
        </w:rPr>
        <w:t>时期乃至未来十年，是沈阳实现全面建成小康社会的决胜期，是贯彻落实党中央、国务院重大决策部署，实现新一轮东北振兴的攻坚期。</w:t>
      </w:r>
      <w:r>
        <w:t>2017</w:t>
      </w:r>
      <w:r>
        <w:rPr>
          <w:rFonts w:hint="eastAsia"/>
        </w:rPr>
        <w:t>年发布的《沈阳振兴发展战略规划》中提出沈阳市的振兴发展目标：到</w:t>
      </w:r>
      <w:r>
        <w:t>2020</w:t>
      </w:r>
      <w:r>
        <w:rPr>
          <w:rFonts w:hint="eastAsia"/>
        </w:rPr>
        <w:t>年，成为引领实现东北振兴发展的中心城市，到</w:t>
      </w:r>
      <w:r>
        <w:t>2030</w:t>
      </w:r>
      <w:r>
        <w:rPr>
          <w:rFonts w:hint="eastAsia"/>
        </w:rPr>
        <w:t>年，成为东北亚地区重要的国际中心城市。</w:t>
      </w:r>
    </w:p>
    <w:p w14:paraId="7CDB1B79">
      <w:pPr>
        <w:ind w:firstLine="482"/>
        <w:rPr>
          <w:b/>
          <w:bCs/>
        </w:rPr>
      </w:pPr>
      <w:r>
        <w:rPr>
          <w:rFonts w:hint="eastAsia"/>
          <w:b/>
          <w:bCs/>
        </w:rPr>
        <w:t xml:space="preserve">④ </w:t>
      </w:r>
      <w:r>
        <w:rPr>
          <w:b/>
          <w:bCs/>
        </w:rPr>
        <w:t>《沈阳市“中国制造2025”实施方案》</w:t>
      </w:r>
    </w:p>
    <w:p w14:paraId="690F9A9B">
      <w:pPr>
        <w:snapToGrid w:val="0"/>
        <w:spacing w:before="120" w:line="360" w:lineRule="auto"/>
      </w:pPr>
      <w:r>
        <w:rPr>
          <w:rFonts w:hint="eastAsia"/>
        </w:rPr>
        <w:t>沈阳建设国家和区域制造业创新中心的重点方向之一为节能环保绿色建筑技术，通过</w:t>
      </w:r>
      <w:r>
        <w:t>“</w:t>
      </w:r>
      <w:r>
        <w:rPr>
          <w:rFonts w:hint="eastAsia"/>
        </w:rPr>
        <w:t>依托中辰钢构钢结构研发检测公共服务中心、省钢结构住宅产业化工程研究中心、省钢结构工程技术中心，联合辽宁省（沈阳）现代建筑产业技术创新战略联盟成员，积极争取国家、省级相关政策支持，构建面向全球的协同创新网路</w:t>
      </w:r>
      <w:r>
        <w:t>”</w:t>
      </w:r>
      <w:r>
        <w:rPr>
          <w:rFonts w:hint="eastAsia"/>
        </w:rPr>
        <w:t>的路径，将沈阳市建设成为区域制造业创新中心以及国内领先的绿色建筑技术研发基地</w:t>
      </w:r>
      <w:r>
        <w:t>。</w:t>
      </w:r>
    </w:p>
    <w:p w14:paraId="5617C1D9">
      <w:pPr>
        <w:ind w:firstLine="482"/>
      </w:pPr>
      <w:r>
        <w:rPr>
          <w:rFonts w:hint="eastAsia"/>
          <w:b/>
          <w:bCs/>
        </w:rPr>
        <w:t xml:space="preserve">⑤ </w:t>
      </w:r>
      <w:r>
        <w:rPr>
          <w:b/>
          <w:bCs/>
        </w:rPr>
        <w:t>《沈阳市促进建筑业持续健康发展方案》</w:t>
      </w:r>
    </w:p>
    <w:p w14:paraId="4DC3F088">
      <w:pPr>
        <w:snapToGrid w:val="0"/>
        <w:spacing w:before="120" w:line="360" w:lineRule="auto"/>
      </w:pPr>
      <w:r>
        <w:t>提出工程总承包、BIM(建筑信息模型)技术、装配式建筑、绿色建筑等建筑业新模式、新技术和新理念得到广泛推广应用的目标，</w:t>
      </w:r>
      <w:r>
        <w:rPr>
          <w:rFonts w:hint="eastAsia"/>
        </w:rPr>
        <w:t>至</w:t>
      </w:r>
      <w:r>
        <w:t>2020</w:t>
      </w:r>
      <w:r>
        <w:rPr>
          <w:rFonts w:hint="eastAsia"/>
        </w:rPr>
        <w:t>年城镇绿色建筑占城镇新建建筑比例力争达到</w:t>
      </w:r>
      <w:r>
        <w:t>50%</w:t>
      </w:r>
      <w:r>
        <w:rPr>
          <w:rFonts w:hint="eastAsia"/>
        </w:rPr>
        <w:t>（</w:t>
      </w:r>
      <w:r>
        <w:t>2018</w:t>
      </w:r>
      <w:r>
        <w:rPr>
          <w:rFonts w:hint="eastAsia"/>
        </w:rPr>
        <w:t>年达到</w:t>
      </w:r>
      <w:r>
        <w:t>40%</w:t>
      </w:r>
      <w:r>
        <w:rPr>
          <w:rFonts w:hint="eastAsia"/>
        </w:rPr>
        <w:t>）。</w:t>
      </w:r>
      <w:r>
        <w:t>在装配式建筑方面，具体任务中提出“推进装配式建筑发展。突出建筑产业现代化在我市传统建筑业转型升级、供给侧改革和企业发展等方面的引领作用。依托我市作为国家装配式建筑示范城市的优势，完善相关政策措施和管理体系，以工程项目建设为抓手，以产业发展为核心，努力打造现代建筑千亿产业链，到2020年，全市装配式建筑占新建建筑比例力争达到50%，商品住房成品化比率达到50%以上，培育4个以上国家级装配式建筑产业示范基地和2个以上装配式建筑科技创新基地，装配式建筑成为主要建造方式，建筑产业配套更加齐全，成为我市重要支柱产业。发挥政府投资项目的产业化建设引领作用，推广应用一体化总承包模式、BIM(建筑信息模型)及钢结构、木结构等低碳绿色新技术”</w:t>
      </w:r>
      <w:r>
        <w:rPr>
          <w:rFonts w:hint="eastAsia"/>
        </w:rPr>
        <w:t>。在绿色建筑方面，提出</w:t>
      </w:r>
      <w:r>
        <w:t>“</w:t>
      </w:r>
      <w:r>
        <w:rPr>
          <w:rFonts w:hint="eastAsia"/>
        </w:rPr>
        <w:t>推进绿色建筑发展。提高建筑节能标准，严格落实建筑节能强制性标准，全市居住建筑按照建筑节能率</w:t>
      </w:r>
      <w:r>
        <w:t>75%</w:t>
      </w:r>
      <w:r>
        <w:rPr>
          <w:rFonts w:hint="eastAsia"/>
        </w:rPr>
        <w:t>标准进行设计和建造。</w:t>
      </w:r>
      <w:r>
        <w:t>加强施工监管，严格建筑节能专项验收，开展被动房、低能耗建筑试点工程建设。引导房地产开发项目执行绿色建筑标准，鼓励高星级绿色建筑示范工程建设，在土地出让环节增加绿色建筑指标要求。</w:t>
      </w:r>
      <w:r>
        <w:rPr>
          <w:rFonts w:hint="eastAsia"/>
        </w:rPr>
        <w:t>大力发展绿色建材，推动适用于装配式建筑、绿色建筑建设需求的高效保温材料、高效节能门窗、保温装饰一体化复合墙板、预拌砂浆等绿色建材和部品的研发、生产和推广应用。实施绿色建材信息化管理和推荐目录管理，建立绿色建材</w:t>
      </w:r>
      <w:r>
        <w:t>(</w:t>
      </w:r>
      <w:r>
        <w:rPr>
          <w:rFonts w:hint="eastAsia"/>
        </w:rPr>
        <w:t>建筑产业化部品部件</w:t>
      </w:r>
      <w:r>
        <w:t>)</w:t>
      </w:r>
      <w:r>
        <w:rPr>
          <w:rFonts w:hint="eastAsia"/>
        </w:rPr>
        <w:t>数据库</w:t>
      </w:r>
      <w:r>
        <w:t>”。同时，制定出加强BIM技术推广应用的任务，提出“开展BIM技术应用试点项目建设，在政府投资项目、装配式建筑项目、绿色建筑项目中，率先应用BIM技术进行工程建设”的要求。</w:t>
      </w:r>
    </w:p>
    <w:p w14:paraId="1A53DCC7">
      <w:pPr>
        <w:ind w:firstLine="482"/>
        <w:rPr>
          <w:b/>
          <w:bCs/>
        </w:rPr>
      </w:pPr>
      <w:r>
        <w:rPr>
          <w:rFonts w:hint="eastAsia"/>
          <w:b/>
          <w:bCs/>
        </w:rPr>
        <w:t xml:space="preserve">⑥ </w:t>
      </w:r>
      <w:r>
        <w:rPr>
          <w:b/>
          <w:bCs/>
        </w:rPr>
        <w:t>《沈阳市加快推进国家循环经济示范城市建设工作方案》</w:t>
      </w:r>
    </w:p>
    <w:p w14:paraId="3B18B1D9">
      <w:pPr>
        <w:snapToGrid w:val="0"/>
        <w:spacing w:before="120" w:line="360" w:lineRule="auto"/>
      </w:pPr>
      <w:r>
        <w:t>一方面提出对于建筑业，要建立“</w:t>
      </w:r>
      <w:r>
        <w:rPr>
          <w:rFonts w:hint="eastAsia"/>
        </w:rPr>
        <w:t>工业废渣</w:t>
      </w:r>
      <w:r>
        <w:t>—</w:t>
      </w:r>
      <w:r>
        <w:rPr>
          <w:rFonts w:hint="eastAsia"/>
        </w:rPr>
        <w:t>建材</w:t>
      </w:r>
      <w:r>
        <w:t>”</w:t>
      </w:r>
      <w:r>
        <w:rPr>
          <w:rFonts w:hint="eastAsia"/>
        </w:rPr>
        <w:t>产业链，建立</w:t>
      </w:r>
      <w:r>
        <w:t>“</w:t>
      </w:r>
      <w:r>
        <w:rPr>
          <w:rFonts w:hint="eastAsia"/>
        </w:rPr>
        <w:t>废旧家具、农林废弃物</w:t>
      </w:r>
      <w:r>
        <w:t>—</w:t>
      </w:r>
      <w:r>
        <w:rPr>
          <w:rFonts w:hint="eastAsia"/>
        </w:rPr>
        <w:t>建筑用木制品</w:t>
      </w:r>
      <w:r>
        <w:t>”</w:t>
      </w:r>
      <w:r>
        <w:rPr>
          <w:rFonts w:hint="eastAsia"/>
        </w:rPr>
        <w:t>产业链</w:t>
      </w:r>
      <w:r>
        <w:t>，同时进一步鼓励推动现代建筑产业发展，政府保障性住房、公共建筑等符合应用条件的项目应采用装配式建筑技术。另一方面，在推进能源资源全面节约方面，提出严守资源利用上线，强化能源和水资源消耗、建设用地总量和强度双控管理的要求，并设定“到2020年，单位地区生产总值能耗比2015年下降15%，能源消费总量比2015年增加620万吨标准煤以下，建设用地规模控制在2000平方公里左右，建设用地产出率达到30444万元/平方千米，用水总量控制在31.38亿立方米以内”</w:t>
      </w:r>
      <w:r>
        <w:rPr>
          <w:rFonts w:hint="eastAsia"/>
        </w:rPr>
        <w:t>的目标。</w:t>
      </w:r>
    </w:p>
    <w:p w14:paraId="29E61ED3">
      <w:pPr>
        <w:ind w:firstLine="482"/>
        <w:rPr>
          <w:b/>
          <w:bCs/>
        </w:rPr>
      </w:pPr>
      <w:r>
        <w:rPr>
          <w:rFonts w:hint="eastAsia"/>
          <w:b/>
          <w:bCs/>
        </w:rPr>
        <w:t xml:space="preserve">⑦ </w:t>
      </w:r>
      <w:r>
        <w:rPr>
          <w:b/>
          <w:bCs/>
        </w:rPr>
        <w:t>《沈阳市建设国家标准化改革创新先行区实施方案》</w:t>
      </w:r>
    </w:p>
    <w:p w14:paraId="4F67C089">
      <w:pPr>
        <w:snapToGrid w:val="0"/>
        <w:spacing w:before="120" w:line="360" w:lineRule="auto"/>
      </w:pPr>
      <w:r>
        <w:rPr>
          <w:rFonts w:hint="eastAsia"/>
        </w:rPr>
        <w:t>为实现</w:t>
      </w:r>
      <w:r>
        <w:t>2020</w:t>
      </w:r>
      <w:r>
        <w:rPr>
          <w:rFonts w:hint="eastAsia"/>
        </w:rPr>
        <w:t>年全面完成我市国家标准化改革创新先行区建设任务，提出优化</w:t>
      </w:r>
      <w:r>
        <w:t>“</w:t>
      </w:r>
      <w:r>
        <w:rPr>
          <w:rFonts w:hint="eastAsia"/>
        </w:rPr>
        <w:t>沈阳建设</w:t>
      </w:r>
      <w:r>
        <w:t>”</w:t>
      </w:r>
      <w:r>
        <w:rPr>
          <w:rFonts w:hint="eastAsia"/>
        </w:rPr>
        <w:t>标准的任务，如，编制绿色建筑设计、评价等技术标准，开展装配式建筑、</w:t>
      </w:r>
      <w:r>
        <w:t>BIM</w:t>
      </w:r>
      <w:r>
        <w:rPr>
          <w:rFonts w:hint="eastAsia"/>
        </w:rPr>
        <w:t>应用等领域标准研究，加快构建沈阳现代建筑标准体系；健全农村产业经营、公共事业服务、绿色环保建设等美丽乡村标准体系；加强特色小镇建设、运行、评价标准研究，开展特色小镇标准创新示范活动，推动特色小镇标准化建设。</w:t>
      </w:r>
    </w:p>
    <w:p w14:paraId="4FE06538">
      <w:pPr>
        <w:ind w:firstLine="482"/>
        <w:rPr>
          <w:b/>
          <w:bCs/>
        </w:rPr>
      </w:pPr>
      <w:r>
        <w:rPr>
          <w:rFonts w:hint="eastAsia"/>
          <w:b/>
          <w:bCs/>
        </w:rPr>
        <w:t xml:space="preserve">⑧ </w:t>
      </w:r>
      <w:r>
        <w:rPr>
          <w:b/>
          <w:bCs/>
        </w:rPr>
        <w:t>《沈阳市开展质量提升行动的实施方案》</w:t>
      </w:r>
    </w:p>
    <w:p w14:paraId="707D7EDF">
      <w:pPr>
        <w:snapToGrid w:val="0"/>
        <w:spacing w:before="120" w:line="360" w:lineRule="auto"/>
      </w:pPr>
      <w:r>
        <w:rPr>
          <w:rFonts w:hint="eastAsia"/>
        </w:rPr>
        <w:t>提出到</w:t>
      </w:r>
      <w:r>
        <w:t>2020</w:t>
      </w:r>
      <w:r>
        <w:rPr>
          <w:rFonts w:hint="eastAsia"/>
        </w:rPr>
        <w:t>年实现</w:t>
      </w:r>
      <w:r>
        <w:t>“</w:t>
      </w:r>
      <w:r>
        <w:rPr>
          <w:rFonts w:hint="eastAsia"/>
        </w:rPr>
        <w:t>绿色建筑发展迅速，建筑工程节能效率和工业化建造比重不断提高</w:t>
      </w:r>
      <w:r>
        <w:t>”</w:t>
      </w:r>
      <w:r>
        <w:rPr>
          <w:rFonts w:hint="eastAsia"/>
        </w:rPr>
        <w:t>的目标，并开展推进绿色建筑发展，鼓励新型墙材料等绿色建材生产，全面推行绿色建筑标准的工作。</w:t>
      </w:r>
    </w:p>
    <w:p w14:paraId="77878521">
      <w:pPr>
        <w:ind w:firstLine="482"/>
        <w:rPr>
          <w:b/>
          <w:bCs/>
        </w:rPr>
      </w:pPr>
      <w:r>
        <w:rPr>
          <w:rFonts w:hint="eastAsia"/>
          <w:b/>
          <w:bCs/>
        </w:rPr>
        <w:t xml:space="preserve">⑨ </w:t>
      </w:r>
      <w:r>
        <w:rPr>
          <w:b/>
          <w:bCs/>
        </w:rPr>
        <w:t>《贯彻落实〈新时代公民道德建设实施纲要〉实施方案》</w:t>
      </w:r>
    </w:p>
    <w:p w14:paraId="7AEB5181">
      <w:pPr>
        <w:snapToGrid w:val="0"/>
        <w:spacing w:before="120" w:line="360" w:lineRule="auto"/>
      </w:pPr>
      <w:r>
        <w:rPr>
          <w:rFonts w:hint="eastAsia"/>
        </w:rPr>
        <w:t>积极践行绿色生产生活方式的任务，组织开展</w:t>
      </w:r>
      <w:r>
        <w:t>“</w:t>
      </w:r>
      <w:r>
        <w:rPr>
          <w:rFonts w:hint="eastAsia"/>
        </w:rPr>
        <w:t>倡导绿色生活，反对铺张浪费</w:t>
      </w:r>
      <w:r>
        <w:t>”</w:t>
      </w:r>
      <w:r>
        <w:rPr>
          <w:rFonts w:hint="eastAsia"/>
        </w:rPr>
        <w:t>、绿色出行和垃圾分类等行动，打造创建节约型机关、绿色家庭、绿色学校、绿色社区，倡导简约适度、绿色低碳的生活方式，引导人们做生态环境的保护者、建设者。</w:t>
      </w:r>
    </w:p>
    <w:p w14:paraId="0F03B568">
      <w:pPr>
        <w:snapToGrid w:val="0"/>
        <w:spacing w:before="120" w:line="360" w:lineRule="auto"/>
        <w:ind w:firstLine="482"/>
      </w:pPr>
      <w:r>
        <w:rPr>
          <w:rFonts w:hint="eastAsia"/>
          <w:b/>
          <w:bCs/>
        </w:rPr>
        <w:t>2、</w:t>
      </w:r>
      <w:r>
        <w:rPr>
          <w:b/>
          <w:bCs/>
        </w:rPr>
        <w:t>相关政策</w:t>
      </w:r>
    </w:p>
    <w:p w14:paraId="06CB1110">
      <w:pPr>
        <w:snapToGrid w:val="0"/>
        <w:spacing w:before="120" w:line="360" w:lineRule="auto"/>
      </w:pPr>
      <w:r>
        <w:t>2020</w:t>
      </w:r>
      <w:r>
        <w:rPr>
          <w:rFonts w:hint="eastAsia"/>
        </w:rPr>
        <w:t>年</w:t>
      </w:r>
      <w:r>
        <w:t>5</w:t>
      </w:r>
      <w:r>
        <w:rPr>
          <w:rFonts w:hint="eastAsia"/>
        </w:rPr>
        <w:t>月，为深入贯彻《辽宁省人民政府办公厅关于促进建筑业高质量发展的意见》（辽政办发〔</w:t>
      </w:r>
      <w:r>
        <w:t>2020</w:t>
      </w:r>
      <w:r>
        <w:rPr>
          <w:rFonts w:hint="eastAsia"/>
        </w:rPr>
        <w:t>〕</w:t>
      </w:r>
      <w:r>
        <w:t>8</w:t>
      </w:r>
      <w:r>
        <w:rPr>
          <w:rFonts w:hint="eastAsia"/>
        </w:rPr>
        <w:t>号），沈阳市城乡建设局印发《关于促进沈阳市建筑业持续健康发展的意见》，在大力发展现代建筑应用方面，给予一定优惠政策，并在推动装配式建筑推广应用、装配式企业一体化发展和国家级产业园区建设方面均提出一定要求。</w:t>
      </w:r>
    </w:p>
    <w:p w14:paraId="0313A422">
      <w:pPr>
        <w:snapToGrid w:val="0"/>
        <w:spacing w:before="120" w:line="360" w:lineRule="auto"/>
      </w:pPr>
      <w:r>
        <w:rPr>
          <w:rFonts w:hint="eastAsia"/>
        </w:rPr>
        <w:t>为贯彻落实《国务院办公厅关于推进海绵城市建设的指导意见》（国办发〔</w:t>
      </w:r>
      <w:r>
        <w:t>2015</w:t>
      </w:r>
      <w:r>
        <w:rPr>
          <w:rFonts w:hint="eastAsia"/>
        </w:rPr>
        <w:t>〕</w:t>
      </w:r>
      <w:r>
        <w:t>75</w:t>
      </w:r>
      <w:r>
        <w:rPr>
          <w:rFonts w:hint="eastAsia"/>
        </w:rPr>
        <w:t>号）和《辽宁省人民政府办公厅关于推进海绵城市建设的实施意见》（辽政办发〔</w:t>
      </w:r>
      <w:r>
        <w:t>2016</w:t>
      </w:r>
      <w:r>
        <w:rPr>
          <w:rFonts w:hint="eastAsia"/>
        </w:rPr>
        <w:t>〕</w:t>
      </w:r>
      <w:r>
        <w:t>10</w:t>
      </w:r>
      <w:r>
        <w:rPr>
          <w:rFonts w:hint="eastAsia"/>
        </w:rPr>
        <w:t>号）精神，沈阳市于</w:t>
      </w:r>
      <w:r>
        <w:t>2016</w:t>
      </w:r>
      <w:r>
        <w:rPr>
          <w:rFonts w:hint="eastAsia"/>
        </w:rPr>
        <w:t>年出台了《沈阳市人民政府关于推进海绵城市建设的实施意见》（沈政发〔</w:t>
      </w:r>
      <w:r>
        <w:t>2016</w:t>
      </w:r>
      <w:r>
        <w:rPr>
          <w:rFonts w:hint="eastAsia"/>
        </w:rPr>
        <w:t>〕</w:t>
      </w:r>
      <w:r>
        <w:t>9</w:t>
      </w:r>
      <w:r>
        <w:rPr>
          <w:rFonts w:hint="eastAsia"/>
        </w:rPr>
        <w:t>号），统筹推进海绵城市建设，基本实现了</w:t>
      </w:r>
      <w:r>
        <w:t>2020</w:t>
      </w:r>
      <w:r>
        <w:rPr>
          <w:rFonts w:hint="eastAsia"/>
        </w:rPr>
        <w:t>年城市建成区</w:t>
      </w:r>
      <w:r>
        <w:t>20%</w:t>
      </w:r>
      <w:r>
        <w:rPr>
          <w:rFonts w:hint="eastAsia"/>
        </w:rPr>
        <w:t>以上的面积达到海绵城市建设要求的目标。但完成</w:t>
      </w:r>
      <w:r>
        <w:t>2030</w:t>
      </w:r>
      <w:r>
        <w:rPr>
          <w:rFonts w:hint="eastAsia"/>
        </w:rPr>
        <w:t>年城市建成区</w:t>
      </w:r>
      <w:r>
        <w:t>80%</w:t>
      </w:r>
      <w:r>
        <w:rPr>
          <w:rFonts w:hint="eastAsia"/>
        </w:rPr>
        <w:t>以上的面积达到海绵城市建设要求的目标，任务繁重，亟需制订相关建设管理办法，以进一步明确部门职责，压实地区主体责任，规范海绵城市建设管理各环节的管控措施。为实现</w:t>
      </w:r>
      <w:r>
        <w:t>2030</w:t>
      </w:r>
      <w:r>
        <w:rPr>
          <w:rFonts w:hint="eastAsia"/>
        </w:rPr>
        <w:t>年城市建成区</w:t>
      </w:r>
      <w:r>
        <w:t>80%</w:t>
      </w:r>
      <w:r>
        <w:rPr>
          <w:rFonts w:hint="eastAsia"/>
        </w:rPr>
        <w:t>以上面积达到海绵城市建设要求的目标，</w:t>
      </w:r>
      <w:r>
        <w:t>2020</w:t>
      </w:r>
      <w:r>
        <w:rPr>
          <w:rFonts w:hint="eastAsia"/>
        </w:rPr>
        <w:t>年</w:t>
      </w:r>
      <w:r>
        <w:t>9</w:t>
      </w:r>
      <w:r>
        <w:rPr>
          <w:rFonts w:hint="eastAsia"/>
        </w:rPr>
        <w:t>月沈阳市人民政府发布《沈阳市海绵城市建设管理办法》。</w:t>
      </w:r>
    </w:p>
    <w:p w14:paraId="1BFCE1E9">
      <w:pPr>
        <w:snapToGrid w:val="0"/>
        <w:spacing w:before="120" w:line="360" w:lineRule="auto"/>
      </w:pPr>
      <w:r>
        <w:rPr>
          <w:rFonts w:hint="eastAsia"/>
        </w:rPr>
        <w:t>为贯彻落实《北方地区冬季清洁取暖规划（2017-2021年）》和《辽宁省推进清洁取暖三年滚动计划（2018—2020年）》，</w:t>
      </w:r>
      <w:r>
        <w:t>2021</w:t>
      </w:r>
      <w:r>
        <w:rPr>
          <w:rFonts w:hint="eastAsia"/>
        </w:rPr>
        <w:t>年沈阳市人民政府编制《沈阳市冬季清洁取暖项目实施方案》，提出到2</w:t>
      </w:r>
      <w:r>
        <w:t>024</w:t>
      </w:r>
      <w:r>
        <w:rPr>
          <w:rFonts w:hint="eastAsia"/>
        </w:rPr>
        <w:t>年，沈阳市城区清洁取暖率达到1</w:t>
      </w:r>
      <w:r>
        <w:t>00%</w:t>
      </w:r>
      <w:r>
        <w:rPr>
          <w:rFonts w:hint="eastAsia"/>
        </w:rPr>
        <w:t>，县城清洁取暖率达到1</w:t>
      </w:r>
      <w:r>
        <w:t>00%</w:t>
      </w:r>
      <w:r>
        <w:rPr>
          <w:rFonts w:hint="eastAsia"/>
        </w:rPr>
        <w:t>，农村地区清洁取暖率达到9</w:t>
      </w:r>
      <w:r>
        <w:t>0%</w:t>
      </w:r>
      <w:r>
        <w:rPr>
          <w:rFonts w:hint="eastAsia"/>
        </w:rPr>
        <w:t>以上，散煤替代率1</w:t>
      </w:r>
      <w:r>
        <w:t>00%</w:t>
      </w:r>
      <w:r>
        <w:rPr>
          <w:rFonts w:hint="eastAsia"/>
        </w:rPr>
        <w:t>。预计示范期内完成热源清洁化</w:t>
      </w:r>
      <w:r>
        <w:t>15477.9</w:t>
      </w:r>
      <w:r>
        <w:rPr>
          <w:rFonts w:hint="eastAsia"/>
        </w:rPr>
        <w:t>万平米，城镇既有建筑能效提升</w:t>
      </w:r>
      <w:r>
        <w:t>1699.2</w:t>
      </w:r>
      <w:r>
        <w:rPr>
          <w:rFonts w:hint="eastAsia"/>
        </w:rPr>
        <w:t>万平米，农村既有建筑能效提升约</w:t>
      </w:r>
      <w:r>
        <w:t>83</w:t>
      </w:r>
      <w:r>
        <w:rPr>
          <w:rFonts w:hint="eastAsia"/>
        </w:rPr>
        <w:t>万平米，城镇新建建筑能效提升（超低能耗建筑）</w:t>
      </w:r>
      <w:r>
        <w:t>30</w:t>
      </w:r>
      <w:r>
        <w:rPr>
          <w:rFonts w:hint="eastAsia"/>
        </w:rPr>
        <w:t>万平米。</w:t>
      </w:r>
    </w:p>
    <w:p w14:paraId="02268C5B">
      <w:pPr>
        <w:pStyle w:val="4"/>
        <w:numPr>
          <w:ilvl w:val="2"/>
          <w:numId w:val="10"/>
        </w:numPr>
        <w:spacing w:before="0" w:beforeLines="0"/>
        <w:rPr>
          <w:rFonts w:ascii="楷体" w:hAnsi="楷体" w:eastAsia="楷体"/>
          <w:b w:val="0"/>
          <w:bCs/>
          <w:sz w:val="28"/>
          <w:szCs w:val="28"/>
        </w:rPr>
      </w:pPr>
      <w:r>
        <w:rPr>
          <w:rFonts w:hint="eastAsia" w:ascii="楷体" w:hAnsi="楷体" w:eastAsia="楷体"/>
          <w:b w:val="0"/>
          <w:bCs/>
          <w:sz w:val="28"/>
          <w:szCs w:val="28"/>
        </w:rPr>
        <w:t>十三五时期目标完成情况</w:t>
      </w:r>
      <w:r>
        <w:rPr>
          <w:rFonts w:ascii="楷体" w:hAnsi="楷体" w:eastAsia="楷体"/>
          <w:b w:val="0"/>
          <w:bCs/>
          <w:sz w:val="28"/>
          <w:szCs w:val="28"/>
        </w:rPr>
        <w:t xml:space="preserve"> </w:t>
      </w:r>
    </w:p>
    <w:p w14:paraId="18904ABC">
      <w:pPr>
        <w:snapToGrid w:val="0"/>
        <w:spacing w:before="120" w:line="360" w:lineRule="auto"/>
      </w:pPr>
      <w:r>
        <w:rPr>
          <w:rFonts w:hint="eastAsia"/>
        </w:rPr>
        <w:t>沈阳市近年来建筑节能与绿色建筑工作的开展主要集中在绿色建筑发展、建筑节能能效提升、既有建筑供热计量和节能改造、小区改造方面，设立目标为：到</w:t>
      </w:r>
      <w:r>
        <w:t>2020</w:t>
      </w:r>
      <w:r>
        <w:rPr>
          <w:rFonts w:hint="eastAsia"/>
        </w:rPr>
        <w:t>年城镇绿色建筑占城镇新建建筑比例达到</w:t>
      </w:r>
      <w:r>
        <w:t>50%</w:t>
      </w:r>
      <w:r>
        <w:rPr>
          <w:rFonts w:hint="eastAsia"/>
        </w:rPr>
        <w:t>；全市装配式建筑占新建建筑比例达到</w:t>
      </w:r>
      <w:r>
        <w:t>50%</w:t>
      </w:r>
      <w:r>
        <w:rPr>
          <w:rFonts w:hint="eastAsia"/>
        </w:rPr>
        <w:t>，商品住房成品化比率达到</w:t>
      </w:r>
      <w:r>
        <w:t>50%</w:t>
      </w:r>
      <w:r>
        <w:rPr>
          <w:rFonts w:hint="eastAsia"/>
        </w:rPr>
        <w:t>以上，培育</w:t>
      </w:r>
      <w:r>
        <w:t>4</w:t>
      </w:r>
      <w:r>
        <w:rPr>
          <w:rFonts w:hint="eastAsia"/>
        </w:rPr>
        <w:t>个以上国家级装配式建筑产业示范基地和</w:t>
      </w:r>
      <w:r>
        <w:t>2</w:t>
      </w:r>
      <w:r>
        <w:rPr>
          <w:rFonts w:hint="eastAsia"/>
        </w:rPr>
        <w:t>个以上装配式建筑科技创新基地，装配式建筑成为主要建造方式；全市居住建筑按照建筑节能率</w:t>
      </w:r>
      <w:r>
        <w:t>75%</w:t>
      </w:r>
      <w:r>
        <w:rPr>
          <w:rFonts w:hint="eastAsia"/>
        </w:rPr>
        <w:t>标准进行设计和建造。具体开展工作有：被动房及低能耗建筑试点工程建设、加强施工监管和验收、绿色建材研发生产和推广应用、绿色建材信息化管理和推荐目录管理、绿色建材数据库建立、</w:t>
      </w:r>
      <w:r>
        <w:t>BIM</w:t>
      </w:r>
      <w:r>
        <w:rPr>
          <w:rFonts w:hint="eastAsia"/>
        </w:rPr>
        <w:t>技术应用试点项目建设、标准编制（绿色建筑、装配式建筑、</w:t>
      </w:r>
      <w:r>
        <w:t>BIM</w:t>
      </w:r>
      <w:r>
        <w:rPr>
          <w:rFonts w:hint="eastAsia"/>
        </w:rPr>
        <w:t>应用、美丽乡村等）、绿色生活倡导、现代建筑产业化技术推广、现代建筑产业体系建设等。如</w:t>
      </w:r>
      <w:r>
        <w:t>2015-2019</w:t>
      </w:r>
      <w:r>
        <w:rPr>
          <w:rFonts w:hint="eastAsia"/>
        </w:rPr>
        <w:t>年沈阳市装配式建筑竣工情况（</w:t>
      </w:r>
      <w:r>
        <w:fldChar w:fldCharType="begin"/>
      </w:r>
      <w:r>
        <w:instrText xml:space="preserve"> REF _Ref67647250 \h  \* MERGEFORMAT </w:instrText>
      </w:r>
      <w:r>
        <w:fldChar w:fldCharType="separate"/>
      </w:r>
      <w:r>
        <w:rPr>
          <w:rFonts w:hint="eastAsia"/>
        </w:rPr>
        <w:t xml:space="preserve">表 </w:t>
      </w:r>
      <w:r>
        <w:t>3</w:t>
      </w:r>
      <w:r>
        <w:fldChar w:fldCharType="end"/>
      </w:r>
      <w:r>
        <w:t>）所示，十三五期间，沈阳市大力推广装配式建筑，自2016年开始，装配式建筑应用面积大幅上升：截至2020年，装配化率</w:t>
      </w:r>
      <w:r>
        <w:rPr>
          <w:rFonts w:hint="eastAsia" w:cs="宋体"/>
        </w:rPr>
        <w:t>≧</w:t>
      </w:r>
      <w:r>
        <w:t>40%的装配式建筑建设量相较2015年翻了一番；另一方面，装配式建筑占城镇新建建筑的比例呈上升趋势，截至2020年，已有超过一半的城镇新建建筑使用装配式的形式。</w:t>
      </w:r>
    </w:p>
    <w:p w14:paraId="7A0B1600">
      <w:pPr>
        <w:snapToGrid w:val="0"/>
        <w:spacing w:before="120" w:line="360" w:lineRule="auto"/>
      </w:pPr>
      <w:r>
        <w:rPr>
          <w:rFonts w:hint="eastAsia"/>
        </w:rPr>
        <w:t>此外，</w:t>
      </w:r>
      <w:r>
        <w:t>2021年5月沈阳市城乡建设局发布的《沈阳市城乡建设发展“十四五”发展规划（征求意见稿）》总结“十三五”期间沈阳市城乡建设情况，</w:t>
      </w:r>
      <w:r>
        <w:rPr>
          <w:rFonts w:hint="eastAsia"/>
        </w:rPr>
        <w:t>其中在建筑节能与绿色建筑方面，</w:t>
      </w:r>
      <w:r>
        <w:t>沈阳市强化供热设施建设，建设大唐、高官台等17座热源厂，累计改造供热旧管网906公里，全面实施燃煤热源‘拆小联大 ’工程，热电联产和清洁能源供暖比例由30%提高至44.5%。”；人居环境持续改善，累计实施老旧小区改造950个，节能暖房改造1075万平方米，棚户区改造6.82万套，农村危房改造1.14万户，城市居民人均居住面积由“十二五”期末的31.7平方米提</w:t>
      </w:r>
      <w:r>
        <w:rPr>
          <w:rFonts w:hint="eastAsia"/>
        </w:rPr>
        <w:t>高至</w:t>
      </w:r>
      <w:r>
        <w:t>32.6平方米。</w:t>
      </w:r>
      <w:r>
        <w:rPr>
          <w:rFonts w:hint="eastAsia"/>
        </w:rPr>
        <w:t>累计实施老旧小区改造</w:t>
      </w:r>
      <w:r>
        <w:t xml:space="preserve"> 950 个，节能暖房改造 1075 万平方米，棚户区改造 6.82 万套，农村危房改造1.14 万户，城市居民人均居住面积由“十二五”期末的 31.7 平方米提高至 32.6 平方米。城乡居民家庭人均住房面积达标率61.4%，提前完成小康社会指标任务。有效落实住房保障任务，全市累计筹集保障资金约 28 亿元，新增保障家庭 8.32 万户，基本实现应保尽保目标。</w:t>
      </w:r>
    </w:p>
    <w:p w14:paraId="15A44D99">
      <w:pPr>
        <w:widowControl/>
        <w:suppressAutoHyphens w:val="0"/>
        <w:spacing w:line="240" w:lineRule="auto"/>
        <w:ind w:firstLine="0" w:firstLineChars="0"/>
        <w:jc w:val="left"/>
      </w:pPr>
      <w:r>
        <w:br w:type="page"/>
      </w:r>
    </w:p>
    <w:p w14:paraId="4B5CD6AF">
      <w:pPr>
        <w:snapToGrid w:val="0"/>
        <w:spacing w:before="120" w:line="360" w:lineRule="auto"/>
      </w:pPr>
    </w:p>
    <w:p w14:paraId="403C0FD3">
      <w:r>
        <w:t>表3-</w:t>
      </w:r>
      <w:r>
        <w:fldChar w:fldCharType="begin"/>
      </w:r>
      <w:r>
        <w:instrText xml:space="preserve"> SEQ 表3- \* ARABIC </w:instrText>
      </w:r>
      <w:r>
        <w:fldChar w:fldCharType="separate"/>
      </w:r>
      <w:r>
        <w:t>5</w:t>
      </w:r>
      <w:r>
        <w:fldChar w:fldCharType="end"/>
      </w:r>
      <w:r>
        <w:t xml:space="preserve"> 2015-2019年沈阳市装配式建筑竣工情况</w:t>
      </w:r>
    </w:p>
    <w:tbl>
      <w:tblPr>
        <w:tblStyle w:val="20"/>
        <w:tblW w:w="9629" w:type="dxa"/>
        <w:jc w:val="center"/>
        <w:tblLayout w:type="fixed"/>
        <w:tblCellMar>
          <w:top w:w="0" w:type="dxa"/>
          <w:left w:w="108" w:type="dxa"/>
          <w:bottom w:w="0" w:type="dxa"/>
          <w:right w:w="108" w:type="dxa"/>
        </w:tblCellMar>
      </w:tblPr>
      <w:tblGrid>
        <w:gridCol w:w="2684"/>
        <w:gridCol w:w="1134"/>
        <w:gridCol w:w="1133"/>
        <w:gridCol w:w="1133"/>
        <w:gridCol w:w="1133"/>
        <w:gridCol w:w="1138"/>
        <w:gridCol w:w="1274"/>
      </w:tblGrid>
      <w:tr w14:paraId="1CC51522">
        <w:tblPrEx>
          <w:tblCellMar>
            <w:top w:w="0" w:type="dxa"/>
            <w:left w:w="108" w:type="dxa"/>
            <w:bottom w:w="0" w:type="dxa"/>
            <w:right w:w="108" w:type="dxa"/>
          </w:tblCellMar>
        </w:tblPrEx>
        <w:trPr>
          <w:cantSplit/>
          <w:trHeight w:val="525" w:hRule="atLeast"/>
          <w:tblHeader/>
          <w:jc w:val="center"/>
        </w:trPr>
        <w:tc>
          <w:tcPr>
            <w:tcW w:w="2684" w:type="dxa"/>
            <w:tcBorders>
              <w:top w:val="single" w:color="auto" w:sz="8" w:space="0"/>
              <w:left w:val="single" w:color="auto" w:sz="8" w:space="0"/>
              <w:bottom w:val="single" w:color="auto" w:sz="8" w:space="0"/>
              <w:right w:val="single" w:color="auto" w:sz="8" w:space="0"/>
            </w:tcBorders>
            <w:shd w:val="clear" w:color="auto" w:fill="auto"/>
            <w:vAlign w:val="center"/>
          </w:tcPr>
          <w:p w14:paraId="12CB754C">
            <w:pPr>
              <w:pStyle w:val="40"/>
            </w:pPr>
            <w:r>
              <w:t>指标</w:t>
            </w:r>
          </w:p>
        </w:tc>
        <w:tc>
          <w:tcPr>
            <w:tcW w:w="1134" w:type="dxa"/>
            <w:tcBorders>
              <w:top w:val="single" w:color="auto" w:sz="8" w:space="0"/>
              <w:left w:val="nil"/>
              <w:bottom w:val="single" w:color="auto" w:sz="8" w:space="0"/>
              <w:right w:val="single" w:color="auto" w:sz="8" w:space="0"/>
            </w:tcBorders>
            <w:shd w:val="clear" w:color="auto" w:fill="auto"/>
            <w:vAlign w:val="center"/>
          </w:tcPr>
          <w:p w14:paraId="489C4376">
            <w:pPr>
              <w:pStyle w:val="40"/>
            </w:pPr>
            <w:r>
              <w:t>2015年</w:t>
            </w:r>
          </w:p>
        </w:tc>
        <w:tc>
          <w:tcPr>
            <w:tcW w:w="1133" w:type="dxa"/>
            <w:tcBorders>
              <w:top w:val="single" w:color="auto" w:sz="8" w:space="0"/>
              <w:left w:val="nil"/>
              <w:bottom w:val="single" w:color="auto" w:sz="8" w:space="0"/>
              <w:right w:val="single" w:color="auto" w:sz="8" w:space="0"/>
            </w:tcBorders>
            <w:shd w:val="clear" w:color="auto" w:fill="auto"/>
            <w:vAlign w:val="center"/>
          </w:tcPr>
          <w:p w14:paraId="0F1564C2">
            <w:pPr>
              <w:pStyle w:val="40"/>
            </w:pPr>
            <w:r>
              <w:t>2016年</w:t>
            </w:r>
          </w:p>
        </w:tc>
        <w:tc>
          <w:tcPr>
            <w:tcW w:w="1133" w:type="dxa"/>
            <w:tcBorders>
              <w:top w:val="single" w:color="auto" w:sz="8" w:space="0"/>
              <w:left w:val="nil"/>
              <w:bottom w:val="single" w:color="auto" w:sz="8" w:space="0"/>
              <w:right w:val="single" w:color="auto" w:sz="8" w:space="0"/>
            </w:tcBorders>
            <w:shd w:val="clear" w:color="auto" w:fill="auto"/>
            <w:vAlign w:val="center"/>
          </w:tcPr>
          <w:p w14:paraId="74125B9D">
            <w:pPr>
              <w:pStyle w:val="40"/>
            </w:pPr>
            <w:r>
              <w:t>2017年</w:t>
            </w:r>
          </w:p>
        </w:tc>
        <w:tc>
          <w:tcPr>
            <w:tcW w:w="1133" w:type="dxa"/>
            <w:tcBorders>
              <w:top w:val="single" w:color="auto" w:sz="8" w:space="0"/>
              <w:left w:val="nil"/>
              <w:bottom w:val="single" w:color="auto" w:sz="8" w:space="0"/>
              <w:right w:val="single" w:color="auto" w:sz="8" w:space="0"/>
            </w:tcBorders>
            <w:shd w:val="clear" w:color="auto" w:fill="auto"/>
            <w:vAlign w:val="center"/>
          </w:tcPr>
          <w:p w14:paraId="05B1DE8E">
            <w:pPr>
              <w:pStyle w:val="40"/>
            </w:pPr>
            <w:r>
              <w:t>2018年</w:t>
            </w:r>
          </w:p>
        </w:tc>
        <w:tc>
          <w:tcPr>
            <w:tcW w:w="1138" w:type="dxa"/>
            <w:tcBorders>
              <w:top w:val="single" w:color="auto" w:sz="8" w:space="0"/>
              <w:left w:val="nil"/>
              <w:bottom w:val="single" w:color="auto" w:sz="8" w:space="0"/>
              <w:right w:val="single" w:color="auto" w:sz="8" w:space="0"/>
            </w:tcBorders>
            <w:shd w:val="clear" w:color="auto" w:fill="auto"/>
            <w:vAlign w:val="center"/>
          </w:tcPr>
          <w:p w14:paraId="47B55B67">
            <w:pPr>
              <w:pStyle w:val="40"/>
            </w:pPr>
            <w:r>
              <w:t>2019年</w:t>
            </w:r>
          </w:p>
        </w:tc>
        <w:tc>
          <w:tcPr>
            <w:tcW w:w="1274" w:type="dxa"/>
            <w:tcBorders>
              <w:top w:val="single" w:color="auto" w:sz="8" w:space="0"/>
              <w:left w:val="nil"/>
              <w:bottom w:val="single" w:color="auto" w:sz="8" w:space="0"/>
              <w:right w:val="single" w:color="auto" w:sz="8" w:space="0"/>
            </w:tcBorders>
            <w:shd w:val="clear" w:color="auto" w:fill="auto"/>
            <w:vAlign w:val="center"/>
          </w:tcPr>
          <w:p w14:paraId="03D93547">
            <w:pPr>
              <w:pStyle w:val="40"/>
            </w:pPr>
            <w:r>
              <w:t>2020</w:t>
            </w:r>
            <w:r>
              <w:rPr>
                <w:rFonts w:hint="eastAsia"/>
              </w:rPr>
              <w:t>年</w:t>
            </w:r>
          </w:p>
        </w:tc>
      </w:tr>
      <w:tr w14:paraId="123CD000">
        <w:tblPrEx>
          <w:tblCellMar>
            <w:top w:w="0" w:type="dxa"/>
            <w:left w:w="108" w:type="dxa"/>
            <w:bottom w:w="0" w:type="dxa"/>
            <w:right w:w="108" w:type="dxa"/>
          </w:tblCellMar>
        </w:tblPrEx>
        <w:trPr>
          <w:cantSplit/>
          <w:trHeight w:val="300" w:hRule="atLeast"/>
          <w:tblHeader/>
          <w:jc w:val="center"/>
        </w:trPr>
        <w:tc>
          <w:tcPr>
            <w:tcW w:w="2684" w:type="dxa"/>
            <w:tcBorders>
              <w:top w:val="nil"/>
              <w:left w:val="single" w:color="auto" w:sz="8" w:space="0"/>
              <w:bottom w:val="single" w:color="auto" w:sz="8" w:space="0"/>
              <w:right w:val="single" w:color="auto" w:sz="8" w:space="0"/>
            </w:tcBorders>
            <w:shd w:val="clear" w:color="auto" w:fill="auto"/>
            <w:vAlign w:val="center"/>
          </w:tcPr>
          <w:p w14:paraId="013B537E">
            <w:pPr>
              <w:pStyle w:val="40"/>
            </w:pPr>
            <w:r>
              <w:rPr>
                <w:rFonts w:hint="eastAsia"/>
              </w:rPr>
              <w:t>装配式建筑建设面积</w:t>
            </w:r>
          </w:p>
          <w:p w14:paraId="117B21F3">
            <w:pPr>
              <w:pStyle w:val="40"/>
            </w:pPr>
            <w:r>
              <w:rPr>
                <w:rFonts w:hint="eastAsia"/>
              </w:rPr>
              <w:t>（万平米）</w:t>
            </w:r>
          </w:p>
        </w:tc>
        <w:tc>
          <w:tcPr>
            <w:tcW w:w="1134" w:type="dxa"/>
            <w:tcBorders>
              <w:top w:val="nil"/>
              <w:left w:val="nil"/>
              <w:bottom w:val="single" w:color="auto" w:sz="8" w:space="0"/>
              <w:right w:val="single" w:color="auto" w:sz="8" w:space="0"/>
            </w:tcBorders>
            <w:shd w:val="clear" w:color="auto" w:fill="auto"/>
            <w:vAlign w:val="center"/>
          </w:tcPr>
          <w:p w14:paraId="10B3394F">
            <w:pPr>
              <w:pStyle w:val="40"/>
            </w:pPr>
            <w:r>
              <w:t>300</w:t>
            </w:r>
          </w:p>
        </w:tc>
        <w:tc>
          <w:tcPr>
            <w:tcW w:w="1133" w:type="dxa"/>
            <w:tcBorders>
              <w:top w:val="nil"/>
              <w:left w:val="nil"/>
              <w:bottom w:val="single" w:color="auto" w:sz="8" w:space="0"/>
              <w:right w:val="single" w:color="auto" w:sz="8" w:space="0"/>
            </w:tcBorders>
            <w:shd w:val="clear" w:color="auto" w:fill="auto"/>
            <w:vAlign w:val="center"/>
          </w:tcPr>
          <w:p w14:paraId="7C0D8FA8">
            <w:pPr>
              <w:pStyle w:val="40"/>
            </w:pPr>
            <w:r>
              <w:t>300</w:t>
            </w:r>
          </w:p>
        </w:tc>
        <w:tc>
          <w:tcPr>
            <w:tcW w:w="1133" w:type="dxa"/>
            <w:tcBorders>
              <w:top w:val="nil"/>
              <w:left w:val="nil"/>
              <w:bottom w:val="single" w:color="auto" w:sz="8" w:space="0"/>
              <w:right w:val="single" w:color="auto" w:sz="8" w:space="0"/>
            </w:tcBorders>
            <w:shd w:val="clear" w:color="auto" w:fill="auto"/>
            <w:vAlign w:val="center"/>
          </w:tcPr>
          <w:p w14:paraId="2371F151">
            <w:pPr>
              <w:pStyle w:val="40"/>
            </w:pPr>
            <w:r>
              <w:t>430</w:t>
            </w:r>
          </w:p>
        </w:tc>
        <w:tc>
          <w:tcPr>
            <w:tcW w:w="1133" w:type="dxa"/>
            <w:tcBorders>
              <w:top w:val="nil"/>
              <w:left w:val="nil"/>
              <w:bottom w:val="single" w:color="auto" w:sz="8" w:space="0"/>
              <w:right w:val="single" w:color="auto" w:sz="8" w:space="0"/>
            </w:tcBorders>
            <w:shd w:val="clear" w:color="auto" w:fill="auto"/>
            <w:vAlign w:val="center"/>
          </w:tcPr>
          <w:p w14:paraId="736A89DF">
            <w:pPr>
              <w:pStyle w:val="40"/>
            </w:pPr>
            <w:r>
              <w:t>608</w:t>
            </w:r>
          </w:p>
        </w:tc>
        <w:tc>
          <w:tcPr>
            <w:tcW w:w="1138" w:type="dxa"/>
            <w:tcBorders>
              <w:top w:val="nil"/>
              <w:left w:val="nil"/>
              <w:bottom w:val="single" w:color="auto" w:sz="8" w:space="0"/>
              <w:right w:val="single" w:color="auto" w:sz="8" w:space="0"/>
            </w:tcBorders>
            <w:shd w:val="clear" w:color="auto" w:fill="auto"/>
            <w:vAlign w:val="center"/>
          </w:tcPr>
          <w:p w14:paraId="6DF74C67">
            <w:pPr>
              <w:pStyle w:val="40"/>
            </w:pPr>
            <w:r>
              <w:t>633</w:t>
            </w:r>
          </w:p>
        </w:tc>
        <w:tc>
          <w:tcPr>
            <w:tcW w:w="1274" w:type="dxa"/>
            <w:tcBorders>
              <w:top w:val="nil"/>
              <w:left w:val="nil"/>
              <w:bottom w:val="single" w:color="auto" w:sz="8" w:space="0"/>
              <w:right w:val="single" w:color="auto" w:sz="8" w:space="0"/>
            </w:tcBorders>
            <w:shd w:val="clear" w:color="auto" w:fill="auto"/>
            <w:vAlign w:val="center"/>
          </w:tcPr>
          <w:p w14:paraId="0BA92812">
            <w:pPr>
              <w:pStyle w:val="40"/>
            </w:pPr>
            <w:r>
              <w:t>750</w:t>
            </w:r>
          </w:p>
        </w:tc>
      </w:tr>
      <w:tr w14:paraId="106239E3">
        <w:tblPrEx>
          <w:tblCellMar>
            <w:top w:w="0" w:type="dxa"/>
            <w:left w:w="108" w:type="dxa"/>
            <w:bottom w:w="0" w:type="dxa"/>
            <w:right w:w="108" w:type="dxa"/>
          </w:tblCellMar>
        </w:tblPrEx>
        <w:trPr>
          <w:cantSplit/>
          <w:trHeight w:val="300" w:hRule="atLeast"/>
          <w:tblHeader/>
          <w:jc w:val="center"/>
        </w:trPr>
        <w:tc>
          <w:tcPr>
            <w:tcW w:w="2684" w:type="dxa"/>
            <w:tcBorders>
              <w:top w:val="nil"/>
              <w:left w:val="single" w:color="auto" w:sz="8" w:space="0"/>
              <w:bottom w:val="single" w:color="auto" w:sz="8" w:space="0"/>
              <w:right w:val="single" w:color="auto" w:sz="8" w:space="0"/>
            </w:tcBorders>
            <w:shd w:val="clear" w:color="auto" w:fill="auto"/>
            <w:vAlign w:val="center"/>
          </w:tcPr>
          <w:p w14:paraId="0F8CE025">
            <w:pPr>
              <w:pStyle w:val="40"/>
            </w:pPr>
            <w:r>
              <w:rPr>
                <w:rFonts w:hint="eastAsia"/>
              </w:rPr>
              <w:t>装配式建筑占城镇新建建筑比例（</w:t>
            </w:r>
            <w:r>
              <w:t>%</w:t>
            </w:r>
            <w:r>
              <w:rPr>
                <w:rFonts w:hint="eastAsia"/>
              </w:rPr>
              <w:t>）</w:t>
            </w:r>
          </w:p>
        </w:tc>
        <w:tc>
          <w:tcPr>
            <w:tcW w:w="1134" w:type="dxa"/>
            <w:tcBorders>
              <w:top w:val="nil"/>
              <w:left w:val="nil"/>
              <w:bottom w:val="single" w:color="auto" w:sz="8" w:space="0"/>
              <w:right w:val="single" w:color="auto" w:sz="8" w:space="0"/>
            </w:tcBorders>
            <w:shd w:val="clear" w:color="auto" w:fill="auto"/>
            <w:vAlign w:val="center"/>
          </w:tcPr>
          <w:p w14:paraId="02DDF430">
            <w:pPr>
              <w:pStyle w:val="40"/>
            </w:pPr>
            <w:r>
              <w:t>/</w:t>
            </w:r>
          </w:p>
        </w:tc>
        <w:tc>
          <w:tcPr>
            <w:tcW w:w="1133" w:type="dxa"/>
            <w:tcBorders>
              <w:top w:val="nil"/>
              <w:left w:val="nil"/>
              <w:bottom w:val="single" w:color="auto" w:sz="8" w:space="0"/>
              <w:right w:val="single" w:color="auto" w:sz="8" w:space="0"/>
            </w:tcBorders>
            <w:shd w:val="clear" w:color="auto" w:fill="auto"/>
            <w:vAlign w:val="center"/>
          </w:tcPr>
          <w:p w14:paraId="3D51D78E">
            <w:pPr>
              <w:pStyle w:val="40"/>
            </w:pPr>
            <w:r>
              <w:t>/</w:t>
            </w:r>
          </w:p>
        </w:tc>
        <w:tc>
          <w:tcPr>
            <w:tcW w:w="1133" w:type="dxa"/>
            <w:tcBorders>
              <w:top w:val="nil"/>
              <w:left w:val="nil"/>
              <w:bottom w:val="single" w:color="auto" w:sz="8" w:space="0"/>
              <w:right w:val="single" w:color="auto" w:sz="8" w:space="0"/>
            </w:tcBorders>
            <w:shd w:val="clear" w:color="auto" w:fill="auto"/>
            <w:vAlign w:val="center"/>
          </w:tcPr>
          <w:p w14:paraId="52E26245">
            <w:pPr>
              <w:pStyle w:val="40"/>
            </w:pPr>
            <w:r>
              <w:t>30%</w:t>
            </w:r>
          </w:p>
        </w:tc>
        <w:tc>
          <w:tcPr>
            <w:tcW w:w="1133" w:type="dxa"/>
            <w:tcBorders>
              <w:top w:val="nil"/>
              <w:left w:val="nil"/>
              <w:bottom w:val="single" w:color="auto" w:sz="8" w:space="0"/>
              <w:right w:val="single" w:color="auto" w:sz="8" w:space="0"/>
            </w:tcBorders>
            <w:shd w:val="clear" w:color="auto" w:fill="auto"/>
            <w:vAlign w:val="center"/>
          </w:tcPr>
          <w:p w14:paraId="1E5C09BA">
            <w:pPr>
              <w:pStyle w:val="40"/>
            </w:pPr>
            <w:r>
              <w:t>30%</w:t>
            </w:r>
          </w:p>
        </w:tc>
        <w:tc>
          <w:tcPr>
            <w:tcW w:w="1138" w:type="dxa"/>
            <w:tcBorders>
              <w:top w:val="nil"/>
              <w:left w:val="nil"/>
              <w:bottom w:val="single" w:color="auto" w:sz="8" w:space="0"/>
              <w:right w:val="single" w:color="auto" w:sz="8" w:space="0"/>
            </w:tcBorders>
            <w:shd w:val="clear" w:color="auto" w:fill="auto"/>
            <w:vAlign w:val="center"/>
          </w:tcPr>
          <w:p w14:paraId="6C5B2769">
            <w:pPr>
              <w:pStyle w:val="40"/>
            </w:pPr>
            <w:r>
              <w:t>49%</w:t>
            </w:r>
          </w:p>
        </w:tc>
        <w:tc>
          <w:tcPr>
            <w:tcW w:w="1274" w:type="dxa"/>
            <w:tcBorders>
              <w:top w:val="nil"/>
              <w:left w:val="nil"/>
              <w:bottom w:val="single" w:color="auto" w:sz="8" w:space="0"/>
              <w:right w:val="single" w:color="auto" w:sz="8" w:space="0"/>
            </w:tcBorders>
            <w:shd w:val="clear" w:color="auto" w:fill="auto"/>
            <w:vAlign w:val="center"/>
          </w:tcPr>
          <w:p w14:paraId="494B6372">
            <w:pPr>
              <w:pStyle w:val="40"/>
            </w:pPr>
            <w:r>
              <w:t>55%</w:t>
            </w:r>
          </w:p>
        </w:tc>
      </w:tr>
      <w:tr w14:paraId="1D4C5ED8">
        <w:tblPrEx>
          <w:tblCellMar>
            <w:top w:w="0" w:type="dxa"/>
            <w:left w:w="108" w:type="dxa"/>
            <w:bottom w:w="0" w:type="dxa"/>
            <w:right w:w="108" w:type="dxa"/>
          </w:tblCellMar>
        </w:tblPrEx>
        <w:trPr>
          <w:cantSplit/>
          <w:trHeight w:val="300" w:hRule="atLeast"/>
          <w:tblHeader/>
          <w:jc w:val="center"/>
        </w:trPr>
        <w:tc>
          <w:tcPr>
            <w:tcW w:w="2684" w:type="dxa"/>
            <w:tcBorders>
              <w:top w:val="nil"/>
              <w:left w:val="single" w:color="auto" w:sz="8" w:space="0"/>
              <w:bottom w:val="single" w:color="auto" w:sz="8" w:space="0"/>
              <w:right w:val="single" w:color="auto" w:sz="8" w:space="0"/>
            </w:tcBorders>
            <w:shd w:val="clear" w:color="auto" w:fill="auto"/>
            <w:vAlign w:val="center"/>
          </w:tcPr>
          <w:p w14:paraId="23A3463D">
            <w:pPr>
              <w:pStyle w:val="40"/>
            </w:pPr>
            <w:r>
              <w:rPr>
                <w:rFonts w:hint="eastAsia"/>
              </w:rPr>
              <w:t>国家级装配式建筑产业示范基地培育数量</w:t>
            </w:r>
            <w:r>
              <w:t>/</w:t>
            </w:r>
            <w:r>
              <w:rPr>
                <w:rFonts w:hint="eastAsia"/>
              </w:rPr>
              <w:t>个</w:t>
            </w:r>
          </w:p>
        </w:tc>
        <w:tc>
          <w:tcPr>
            <w:tcW w:w="1134" w:type="dxa"/>
            <w:tcBorders>
              <w:top w:val="nil"/>
              <w:left w:val="nil"/>
              <w:bottom w:val="single" w:color="auto" w:sz="8" w:space="0"/>
              <w:right w:val="single" w:color="auto" w:sz="8" w:space="0"/>
            </w:tcBorders>
            <w:shd w:val="clear" w:color="auto" w:fill="auto"/>
            <w:vAlign w:val="center"/>
          </w:tcPr>
          <w:p w14:paraId="18AC6DB6">
            <w:pPr>
              <w:pStyle w:val="40"/>
            </w:pPr>
            <w:r>
              <w:t>/</w:t>
            </w:r>
          </w:p>
        </w:tc>
        <w:tc>
          <w:tcPr>
            <w:tcW w:w="1133" w:type="dxa"/>
            <w:tcBorders>
              <w:top w:val="nil"/>
              <w:left w:val="nil"/>
              <w:bottom w:val="single" w:color="auto" w:sz="8" w:space="0"/>
              <w:right w:val="single" w:color="auto" w:sz="8" w:space="0"/>
            </w:tcBorders>
            <w:shd w:val="clear" w:color="auto" w:fill="auto"/>
            <w:vAlign w:val="center"/>
          </w:tcPr>
          <w:p w14:paraId="2CE2212C">
            <w:pPr>
              <w:pStyle w:val="40"/>
            </w:pPr>
            <w:r>
              <w:t>/</w:t>
            </w:r>
          </w:p>
        </w:tc>
        <w:tc>
          <w:tcPr>
            <w:tcW w:w="1133" w:type="dxa"/>
            <w:tcBorders>
              <w:top w:val="nil"/>
              <w:left w:val="nil"/>
              <w:bottom w:val="single" w:color="auto" w:sz="8" w:space="0"/>
              <w:right w:val="single" w:color="auto" w:sz="8" w:space="0"/>
            </w:tcBorders>
            <w:shd w:val="clear" w:color="auto" w:fill="auto"/>
            <w:vAlign w:val="center"/>
          </w:tcPr>
          <w:p w14:paraId="47D11E95">
            <w:pPr>
              <w:pStyle w:val="40"/>
            </w:pPr>
            <w:r>
              <w:t>4</w:t>
            </w:r>
          </w:p>
        </w:tc>
        <w:tc>
          <w:tcPr>
            <w:tcW w:w="1133" w:type="dxa"/>
            <w:tcBorders>
              <w:top w:val="nil"/>
              <w:left w:val="nil"/>
              <w:bottom w:val="single" w:color="auto" w:sz="8" w:space="0"/>
              <w:right w:val="single" w:color="auto" w:sz="4" w:space="0"/>
            </w:tcBorders>
            <w:shd w:val="clear" w:color="auto" w:fill="auto"/>
            <w:vAlign w:val="center"/>
          </w:tcPr>
          <w:p w14:paraId="2BC0C828">
            <w:pPr>
              <w:pStyle w:val="40"/>
            </w:pPr>
            <w:r>
              <w:t>/</w:t>
            </w:r>
          </w:p>
        </w:tc>
        <w:tc>
          <w:tcPr>
            <w:tcW w:w="1138" w:type="dxa"/>
            <w:tcBorders>
              <w:top w:val="nil"/>
              <w:left w:val="single" w:color="auto" w:sz="4" w:space="0"/>
              <w:bottom w:val="single" w:color="auto" w:sz="8" w:space="0"/>
              <w:right w:val="single" w:color="auto" w:sz="8" w:space="0"/>
            </w:tcBorders>
            <w:shd w:val="clear" w:color="auto" w:fill="auto"/>
            <w:vAlign w:val="center"/>
          </w:tcPr>
          <w:p w14:paraId="46AD77A6">
            <w:pPr>
              <w:pStyle w:val="40"/>
            </w:pPr>
            <w:r>
              <w:t>/</w:t>
            </w:r>
          </w:p>
        </w:tc>
        <w:tc>
          <w:tcPr>
            <w:tcW w:w="1274" w:type="dxa"/>
            <w:tcBorders>
              <w:top w:val="nil"/>
              <w:left w:val="nil"/>
              <w:bottom w:val="single" w:color="auto" w:sz="8" w:space="0"/>
              <w:right w:val="single" w:color="auto" w:sz="8" w:space="0"/>
            </w:tcBorders>
            <w:shd w:val="clear" w:color="auto" w:fill="auto"/>
            <w:vAlign w:val="center"/>
          </w:tcPr>
          <w:p w14:paraId="652B2395">
            <w:pPr>
              <w:pStyle w:val="40"/>
            </w:pPr>
            <w:r>
              <w:t>2</w:t>
            </w:r>
          </w:p>
        </w:tc>
      </w:tr>
      <w:tr w14:paraId="69BDE15F">
        <w:tblPrEx>
          <w:tblCellMar>
            <w:top w:w="0" w:type="dxa"/>
            <w:left w:w="108" w:type="dxa"/>
            <w:bottom w:w="0" w:type="dxa"/>
            <w:right w:w="108" w:type="dxa"/>
          </w:tblCellMar>
        </w:tblPrEx>
        <w:trPr>
          <w:cantSplit/>
          <w:trHeight w:val="300" w:hRule="atLeast"/>
          <w:tblHeader/>
          <w:jc w:val="center"/>
        </w:trPr>
        <w:tc>
          <w:tcPr>
            <w:tcW w:w="2684" w:type="dxa"/>
            <w:tcBorders>
              <w:top w:val="nil"/>
              <w:left w:val="single" w:color="auto" w:sz="8" w:space="0"/>
              <w:bottom w:val="single" w:color="auto" w:sz="8" w:space="0"/>
              <w:right w:val="single" w:color="auto" w:sz="8" w:space="0"/>
            </w:tcBorders>
            <w:shd w:val="clear" w:color="auto" w:fill="auto"/>
            <w:vAlign w:val="center"/>
          </w:tcPr>
          <w:p w14:paraId="756488CD">
            <w:pPr>
              <w:pStyle w:val="40"/>
            </w:pPr>
            <w:r>
              <w:rPr>
                <w:rFonts w:hint="eastAsia"/>
              </w:rPr>
              <w:t>省级装配式建筑产业示范基地培育数量</w:t>
            </w:r>
            <w:r>
              <w:t>/</w:t>
            </w:r>
            <w:r>
              <w:rPr>
                <w:rFonts w:hint="eastAsia"/>
              </w:rPr>
              <w:t>个</w:t>
            </w:r>
          </w:p>
        </w:tc>
        <w:tc>
          <w:tcPr>
            <w:tcW w:w="1134" w:type="dxa"/>
            <w:tcBorders>
              <w:top w:val="nil"/>
              <w:left w:val="nil"/>
              <w:bottom w:val="single" w:color="auto" w:sz="8" w:space="0"/>
              <w:right w:val="single" w:color="auto" w:sz="8" w:space="0"/>
            </w:tcBorders>
            <w:shd w:val="clear" w:color="auto" w:fill="auto"/>
            <w:vAlign w:val="center"/>
          </w:tcPr>
          <w:p w14:paraId="641531D7">
            <w:pPr>
              <w:pStyle w:val="40"/>
            </w:pPr>
            <w:r>
              <w:t>0</w:t>
            </w:r>
          </w:p>
        </w:tc>
        <w:tc>
          <w:tcPr>
            <w:tcW w:w="1133" w:type="dxa"/>
            <w:tcBorders>
              <w:top w:val="nil"/>
              <w:left w:val="nil"/>
              <w:bottom w:val="single" w:color="auto" w:sz="8" w:space="0"/>
              <w:right w:val="single" w:color="auto" w:sz="8" w:space="0"/>
            </w:tcBorders>
            <w:shd w:val="clear" w:color="auto" w:fill="auto"/>
            <w:vAlign w:val="center"/>
          </w:tcPr>
          <w:p w14:paraId="0838A6F7">
            <w:pPr>
              <w:pStyle w:val="40"/>
            </w:pPr>
            <w:r>
              <w:t>0</w:t>
            </w:r>
          </w:p>
        </w:tc>
        <w:tc>
          <w:tcPr>
            <w:tcW w:w="1133" w:type="dxa"/>
            <w:tcBorders>
              <w:top w:val="nil"/>
              <w:left w:val="nil"/>
              <w:bottom w:val="single" w:color="auto" w:sz="8" w:space="0"/>
              <w:right w:val="single" w:color="auto" w:sz="8" w:space="0"/>
            </w:tcBorders>
            <w:shd w:val="clear" w:color="auto" w:fill="auto"/>
            <w:vAlign w:val="center"/>
          </w:tcPr>
          <w:p w14:paraId="3316B35E">
            <w:pPr>
              <w:pStyle w:val="40"/>
            </w:pPr>
            <w:r>
              <w:t>0</w:t>
            </w:r>
          </w:p>
        </w:tc>
        <w:tc>
          <w:tcPr>
            <w:tcW w:w="1133" w:type="dxa"/>
            <w:tcBorders>
              <w:top w:val="nil"/>
              <w:left w:val="nil"/>
              <w:bottom w:val="single" w:color="auto" w:sz="8" w:space="0"/>
              <w:right w:val="single" w:color="auto" w:sz="8" w:space="0"/>
            </w:tcBorders>
            <w:shd w:val="clear" w:color="auto" w:fill="auto"/>
            <w:vAlign w:val="center"/>
          </w:tcPr>
          <w:p w14:paraId="32174929">
            <w:pPr>
              <w:pStyle w:val="40"/>
            </w:pPr>
            <w:r>
              <w:t>0</w:t>
            </w:r>
          </w:p>
        </w:tc>
        <w:tc>
          <w:tcPr>
            <w:tcW w:w="1138" w:type="dxa"/>
            <w:tcBorders>
              <w:top w:val="nil"/>
              <w:left w:val="nil"/>
              <w:bottom w:val="single" w:color="auto" w:sz="8" w:space="0"/>
              <w:right w:val="single" w:color="auto" w:sz="8" w:space="0"/>
            </w:tcBorders>
            <w:shd w:val="clear" w:color="auto" w:fill="auto"/>
            <w:vAlign w:val="center"/>
          </w:tcPr>
          <w:p w14:paraId="66CB9E9B">
            <w:pPr>
              <w:pStyle w:val="40"/>
            </w:pPr>
            <w:r>
              <w:t>7</w:t>
            </w:r>
          </w:p>
        </w:tc>
        <w:tc>
          <w:tcPr>
            <w:tcW w:w="1274" w:type="dxa"/>
            <w:tcBorders>
              <w:top w:val="nil"/>
              <w:left w:val="nil"/>
              <w:bottom w:val="single" w:color="auto" w:sz="8" w:space="0"/>
              <w:right w:val="single" w:color="auto" w:sz="8" w:space="0"/>
            </w:tcBorders>
            <w:shd w:val="clear" w:color="auto" w:fill="auto"/>
            <w:vAlign w:val="center"/>
          </w:tcPr>
          <w:p w14:paraId="2052584D">
            <w:pPr>
              <w:pStyle w:val="40"/>
            </w:pPr>
            <w:r>
              <w:t>6</w:t>
            </w:r>
          </w:p>
        </w:tc>
      </w:tr>
      <w:tr w14:paraId="2BB9310C">
        <w:tblPrEx>
          <w:tblCellMar>
            <w:top w:w="0" w:type="dxa"/>
            <w:left w:w="108" w:type="dxa"/>
            <w:bottom w:w="0" w:type="dxa"/>
            <w:right w:w="108" w:type="dxa"/>
          </w:tblCellMar>
        </w:tblPrEx>
        <w:trPr>
          <w:cantSplit/>
          <w:trHeight w:val="300" w:hRule="atLeast"/>
          <w:tblHeader/>
          <w:jc w:val="center"/>
        </w:trPr>
        <w:tc>
          <w:tcPr>
            <w:tcW w:w="2684" w:type="dxa"/>
            <w:tcBorders>
              <w:top w:val="nil"/>
              <w:left w:val="single" w:color="auto" w:sz="8" w:space="0"/>
              <w:bottom w:val="single" w:color="auto" w:sz="8" w:space="0"/>
              <w:right w:val="single" w:color="auto" w:sz="8" w:space="0"/>
            </w:tcBorders>
            <w:shd w:val="clear" w:color="auto" w:fill="auto"/>
            <w:vAlign w:val="center"/>
          </w:tcPr>
          <w:p w14:paraId="2991AEF2">
            <w:pPr>
              <w:pStyle w:val="40"/>
            </w:pPr>
            <w:r>
              <w:rPr>
                <w:rFonts w:hint="eastAsia"/>
              </w:rPr>
              <w:t>装配式建筑科技创新基地培育数量</w:t>
            </w:r>
            <w:r>
              <w:t>/</w:t>
            </w:r>
            <w:r>
              <w:rPr>
                <w:rFonts w:hint="eastAsia"/>
              </w:rPr>
              <w:t>个</w:t>
            </w:r>
          </w:p>
        </w:tc>
        <w:tc>
          <w:tcPr>
            <w:tcW w:w="1134" w:type="dxa"/>
            <w:tcBorders>
              <w:top w:val="nil"/>
              <w:left w:val="nil"/>
              <w:bottom w:val="single" w:color="auto" w:sz="8" w:space="0"/>
              <w:right w:val="single" w:color="auto" w:sz="8" w:space="0"/>
            </w:tcBorders>
            <w:shd w:val="clear" w:color="auto" w:fill="auto"/>
            <w:vAlign w:val="center"/>
          </w:tcPr>
          <w:p w14:paraId="6BCD3CDC">
            <w:pPr>
              <w:pStyle w:val="40"/>
            </w:pPr>
            <w:r>
              <w:t>0</w:t>
            </w:r>
          </w:p>
        </w:tc>
        <w:tc>
          <w:tcPr>
            <w:tcW w:w="1133" w:type="dxa"/>
            <w:tcBorders>
              <w:top w:val="nil"/>
              <w:left w:val="nil"/>
              <w:bottom w:val="single" w:color="auto" w:sz="8" w:space="0"/>
              <w:right w:val="single" w:color="auto" w:sz="8" w:space="0"/>
            </w:tcBorders>
            <w:shd w:val="clear" w:color="auto" w:fill="auto"/>
            <w:vAlign w:val="center"/>
          </w:tcPr>
          <w:p w14:paraId="3AA8C316">
            <w:pPr>
              <w:pStyle w:val="40"/>
              <w:rPr>
                <w:rFonts w:cstheme="minorBidi"/>
              </w:rPr>
            </w:pPr>
            <w:r>
              <w:t>0</w:t>
            </w:r>
          </w:p>
        </w:tc>
        <w:tc>
          <w:tcPr>
            <w:tcW w:w="1133" w:type="dxa"/>
            <w:tcBorders>
              <w:top w:val="nil"/>
              <w:left w:val="nil"/>
              <w:bottom w:val="single" w:color="auto" w:sz="8" w:space="0"/>
              <w:right w:val="single" w:color="auto" w:sz="8" w:space="0"/>
            </w:tcBorders>
            <w:shd w:val="clear" w:color="auto" w:fill="auto"/>
            <w:vAlign w:val="center"/>
          </w:tcPr>
          <w:p w14:paraId="7374FAEF">
            <w:pPr>
              <w:pStyle w:val="40"/>
              <w:rPr>
                <w:rFonts w:cstheme="minorBidi"/>
              </w:rPr>
            </w:pPr>
            <w:r>
              <w:t>0</w:t>
            </w:r>
          </w:p>
        </w:tc>
        <w:tc>
          <w:tcPr>
            <w:tcW w:w="1133" w:type="dxa"/>
            <w:tcBorders>
              <w:top w:val="nil"/>
              <w:left w:val="nil"/>
              <w:bottom w:val="single" w:color="auto" w:sz="8" w:space="0"/>
              <w:right w:val="single" w:color="auto" w:sz="8" w:space="0"/>
            </w:tcBorders>
            <w:shd w:val="clear" w:color="auto" w:fill="auto"/>
            <w:vAlign w:val="center"/>
          </w:tcPr>
          <w:p w14:paraId="6B2501B4">
            <w:pPr>
              <w:pStyle w:val="40"/>
              <w:rPr>
                <w:rFonts w:cstheme="minorBidi"/>
              </w:rPr>
            </w:pPr>
            <w:r>
              <w:t>0</w:t>
            </w:r>
          </w:p>
        </w:tc>
        <w:tc>
          <w:tcPr>
            <w:tcW w:w="1138" w:type="dxa"/>
            <w:tcBorders>
              <w:top w:val="nil"/>
              <w:left w:val="nil"/>
              <w:bottom w:val="single" w:color="auto" w:sz="8" w:space="0"/>
              <w:right w:val="single" w:color="auto" w:sz="8" w:space="0"/>
            </w:tcBorders>
            <w:shd w:val="clear" w:color="auto" w:fill="auto"/>
            <w:vAlign w:val="center"/>
          </w:tcPr>
          <w:p w14:paraId="152B4E6C">
            <w:pPr>
              <w:pStyle w:val="40"/>
              <w:rPr>
                <w:rFonts w:cstheme="minorBidi"/>
              </w:rPr>
            </w:pPr>
            <w:r>
              <w:t>0</w:t>
            </w:r>
          </w:p>
        </w:tc>
        <w:tc>
          <w:tcPr>
            <w:tcW w:w="1274" w:type="dxa"/>
            <w:tcBorders>
              <w:top w:val="nil"/>
              <w:left w:val="nil"/>
              <w:bottom w:val="single" w:color="auto" w:sz="8" w:space="0"/>
              <w:right w:val="single" w:color="auto" w:sz="8" w:space="0"/>
            </w:tcBorders>
            <w:shd w:val="clear" w:color="auto" w:fill="auto"/>
            <w:vAlign w:val="center"/>
          </w:tcPr>
          <w:p w14:paraId="44F120BD">
            <w:pPr>
              <w:pStyle w:val="40"/>
              <w:rPr>
                <w:rFonts w:cstheme="minorBidi"/>
              </w:rPr>
            </w:pPr>
            <w:r>
              <w:t>0</w:t>
            </w:r>
          </w:p>
        </w:tc>
      </w:tr>
      <w:tr w14:paraId="1DC8F9AD">
        <w:tblPrEx>
          <w:tblCellMar>
            <w:top w:w="0" w:type="dxa"/>
            <w:left w:w="108" w:type="dxa"/>
            <w:bottom w:w="0" w:type="dxa"/>
            <w:right w:w="108" w:type="dxa"/>
          </w:tblCellMar>
        </w:tblPrEx>
        <w:trPr>
          <w:cantSplit/>
          <w:trHeight w:val="300" w:hRule="atLeast"/>
          <w:tblHeader/>
          <w:jc w:val="center"/>
        </w:trPr>
        <w:tc>
          <w:tcPr>
            <w:tcW w:w="2684" w:type="dxa"/>
            <w:tcBorders>
              <w:top w:val="nil"/>
              <w:left w:val="single" w:color="auto" w:sz="8" w:space="0"/>
              <w:bottom w:val="single" w:color="auto" w:sz="8" w:space="0"/>
              <w:right w:val="single" w:color="auto" w:sz="8" w:space="0"/>
            </w:tcBorders>
            <w:shd w:val="clear" w:color="auto" w:fill="auto"/>
            <w:vAlign w:val="center"/>
          </w:tcPr>
          <w:p w14:paraId="4AF6C532">
            <w:pPr>
              <w:pStyle w:val="40"/>
            </w:pPr>
            <w:r>
              <w:rPr>
                <w:rFonts w:hint="eastAsia"/>
              </w:rPr>
              <w:t>装配化率</w:t>
            </w:r>
            <w:r>
              <w:rPr>
                <w:rFonts w:hint="eastAsia" w:cs="宋体"/>
              </w:rPr>
              <w:t>≧</w:t>
            </w:r>
            <w:r>
              <w:t>40%</w:t>
            </w:r>
            <w:r>
              <w:rPr>
                <w:rFonts w:hint="eastAsia"/>
              </w:rPr>
              <w:t>的装配式建筑建设量（万平米）</w:t>
            </w:r>
          </w:p>
        </w:tc>
        <w:tc>
          <w:tcPr>
            <w:tcW w:w="1134" w:type="dxa"/>
            <w:tcBorders>
              <w:top w:val="nil"/>
              <w:left w:val="nil"/>
              <w:bottom w:val="single" w:color="auto" w:sz="8" w:space="0"/>
              <w:right w:val="single" w:color="auto" w:sz="8" w:space="0"/>
            </w:tcBorders>
            <w:shd w:val="clear" w:color="auto" w:fill="auto"/>
            <w:vAlign w:val="center"/>
          </w:tcPr>
          <w:p w14:paraId="15188CA0">
            <w:pPr>
              <w:pStyle w:val="40"/>
            </w:pPr>
            <w:r>
              <w:t>300</w:t>
            </w:r>
          </w:p>
        </w:tc>
        <w:tc>
          <w:tcPr>
            <w:tcW w:w="1133" w:type="dxa"/>
            <w:tcBorders>
              <w:top w:val="nil"/>
              <w:left w:val="nil"/>
              <w:bottom w:val="single" w:color="auto" w:sz="8" w:space="0"/>
              <w:right w:val="single" w:color="auto" w:sz="8" w:space="0"/>
            </w:tcBorders>
            <w:shd w:val="clear" w:color="auto" w:fill="auto"/>
            <w:vAlign w:val="center"/>
          </w:tcPr>
          <w:p w14:paraId="09E749DE">
            <w:pPr>
              <w:pStyle w:val="40"/>
            </w:pPr>
            <w:r>
              <w:t>300</w:t>
            </w:r>
          </w:p>
        </w:tc>
        <w:tc>
          <w:tcPr>
            <w:tcW w:w="1133" w:type="dxa"/>
            <w:tcBorders>
              <w:top w:val="nil"/>
              <w:left w:val="nil"/>
              <w:bottom w:val="single" w:color="auto" w:sz="8" w:space="0"/>
              <w:right w:val="single" w:color="auto" w:sz="8" w:space="0"/>
            </w:tcBorders>
            <w:shd w:val="clear" w:color="auto" w:fill="auto"/>
            <w:vAlign w:val="center"/>
          </w:tcPr>
          <w:p w14:paraId="6D91AD14">
            <w:pPr>
              <w:pStyle w:val="40"/>
            </w:pPr>
            <w:r>
              <w:t>430</w:t>
            </w:r>
          </w:p>
        </w:tc>
        <w:tc>
          <w:tcPr>
            <w:tcW w:w="1133" w:type="dxa"/>
            <w:tcBorders>
              <w:top w:val="nil"/>
              <w:left w:val="nil"/>
              <w:bottom w:val="single" w:color="auto" w:sz="8" w:space="0"/>
              <w:right w:val="single" w:color="auto" w:sz="8" w:space="0"/>
            </w:tcBorders>
            <w:shd w:val="clear" w:color="auto" w:fill="auto"/>
            <w:vAlign w:val="center"/>
          </w:tcPr>
          <w:p w14:paraId="15C3F0A5">
            <w:pPr>
              <w:pStyle w:val="40"/>
            </w:pPr>
            <w:r>
              <w:t>608</w:t>
            </w:r>
          </w:p>
        </w:tc>
        <w:tc>
          <w:tcPr>
            <w:tcW w:w="1138" w:type="dxa"/>
            <w:tcBorders>
              <w:top w:val="nil"/>
              <w:left w:val="nil"/>
              <w:bottom w:val="single" w:color="auto" w:sz="8" w:space="0"/>
              <w:right w:val="single" w:color="auto" w:sz="8" w:space="0"/>
            </w:tcBorders>
            <w:shd w:val="clear" w:color="auto" w:fill="auto"/>
            <w:vAlign w:val="center"/>
          </w:tcPr>
          <w:p w14:paraId="10B80728">
            <w:pPr>
              <w:pStyle w:val="40"/>
            </w:pPr>
            <w:r>
              <w:t>633</w:t>
            </w:r>
          </w:p>
        </w:tc>
        <w:tc>
          <w:tcPr>
            <w:tcW w:w="1274" w:type="dxa"/>
            <w:tcBorders>
              <w:top w:val="nil"/>
              <w:left w:val="nil"/>
              <w:bottom w:val="single" w:color="auto" w:sz="8" w:space="0"/>
              <w:right w:val="single" w:color="auto" w:sz="8" w:space="0"/>
            </w:tcBorders>
            <w:shd w:val="clear" w:color="auto" w:fill="auto"/>
            <w:vAlign w:val="center"/>
          </w:tcPr>
          <w:p w14:paraId="2D8A41FB">
            <w:pPr>
              <w:pStyle w:val="40"/>
            </w:pPr>
            <w:r>
              <w:t>750</w:t>
            </w:r>
          </w:p>
        </w:tc>
      </w:tr>
    </w:tbl>
    <w:p w14:paraId="4185AB32"/>
    <w:p w14:paraId="667F0460">
      <w:pPr>
        <w:widowControl/>
        <w:suppressAutoHyphens w:val="0"/>
        <w:spacing w:line="240" w:lineRule="auto"/>
        <w:ind w:firstLine="0" w:firstLineChars="0"/>
        <w:jc w:val="left"/>
      </w:pPr>
      <w:r>
        <w:br w:type="page"/>
      </w:r>
    </w:p>
    <w:p w14:paraId="3D23AC9F">
      <w:pPr>
        <w:snapToGrid w:val="0"/>
        <w:spacing w:before="120" w:line="360" w:lineRule="auto"/>
      </w:pPr>
      <w:r>
        <w:t>2015-2019</w:t>
      </w:r>
      <w:r>
        <w:rPr>
          <w:rFonts w:hint="eastAsia"/>
        </w:rPr>
        <w:t>年沈阳市节能建筑竣工项目整体情况呈上升趋势（见图3-</w:t>
      </w:r>
      <w:r>
        <w:t>1</w:t>
      </w:r>
      <w:r>
        <w:rPr>
          <w:rFonts w:hint="eastAsia"/>
        </w:rPr>
        <w:t>、图3-</w:t>
      </w:r>
      <w:r>
        <w:t>2</w:t>
      </w:r>
      <w:r>
        <w:rPr>
          <w:rFonts w:hint="eastAsia"/>
        </w:rPr>
        <w:t>、图3-</w:t>
      </w:r>
      <w:r>
        <w:t>3</w:t>
      </w:r>
      <w:r>
        <w:rPr>
          <w:rFonts w:hint="eastAsia"/>
        </w:rPr>
        <w:t>），累计建成节能建筑</w:t>
      </w:r>
      <w:r>
        <w:t>7303.18万平方米。截至2020年，全市已累计建成节能建筑23856.16万平方米。在2020年完成了超低能耗建筑调研工作，理清沈阳市超低能耗发展基础，完成超低能耗试点工程4项。</w:t>
      </w:r>
      <w:r>
        <w:rPr>
          <w:rFonts w:hint="eastAsia"/>
        </w:rPr>
        <w:t>节能居住建筑的建筑面积仍然呈现上升趋势。</w:t>
      </w:r>
    </w:p>
    <w:p w14:paraId="7812DC5C">
      <w:r>
        <w:drawing>
          <wp:inline distT="0" distB="0" distL="0" distR="0">
            <wp:extent cx="5274310" cy="3138805"/>
            <wp:effectExtent l="0" t="0" r="2540" b="4445"/>
            <wp:docPr id="48" name="图表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C4D581B">
      <w:bookmarkStart w:id="38" w:name="_Hlk91258723"/>
      <w:r>
        <w:rPr>
          <w:rFonts w:hint="eastAsia"/>
        </w:rPr>
        <w:t>图3</w:t>
      </w:r>
      <w:r>
        <w:t>-</w:t>
      </w:r>
      <w:r>
        <w:fldChar w:fldCharType="begin"/>
      </w:r>
      <w:r>
        <w:instrText xml:space="preserve"> SEQ 图 \* ARABIC </w:instrText>
      </w:r>
      <w:r>
        <w:fldChar w:fldCharType="separate"/>
      </w:r>
      <w:r>
        <w:t>1</w:t>
      </w:r>
      <w:r>
        <w:fldChar w:fldCharType="end"/>
      </w:r>
      <w:r>
        <w:t xml:space="preserve"> </w:t>
      </w:r>
      <w:bookmarkEnd w:id="38"/>
      <w:r>
        <w:t>2015-2019年沈阳市节能建筑竣工项目数量统计</w:t>
      </w:r>
    </w:p>
    <w:p w14:paraId="129303AF">
      <w:r>
        <w:drawing>
          <wp:inline distT="0" distB="0" distL="0" distR="0">
            <wp:extent cx="5143500" cy="3028315"/>
            <wp:effectExtent l="0" t="0" r="0" b="6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7079CEC">
      <w:pPr>
        <w:spacing w:before="156" w:beforeLines="50" w:after="156" w:afterLines="50"/>
        <w:ind w:firstLine="422"/>
        <w:jc w:val="center"/>
        <w:rPr>
          <w:b/>
          <w:sz w:val="21"/>
        </w:rPr>
      </w:pPr>
      <w:r>
        <w:rPr>
          <w:rFonts w:hint="eastAsia"/>
          <w:b/>
          <w:sz w:val="21"/>
        </w:rPr>
        <w:t>图3</w:t>
      </w:r>
      <w:r>
        <w:rPr>
          <w:b/>
          <w:sz w:val="21"/>
        </w:rPr>
        <w:t>-</w:t>
      </w:r>
      <w:r>
        <w:rPr>
          <w:b/>
          <w:sz w:val="21"/>
        </w:rPr>
        <w:fldChar w:fldCharType="begin"/>
      </w:r>
      <w:r>
        <w:rPr>
          <w:b/>
          <w:sz w:val="21"/>
        </w:rPr>
        <w:instrText xml:space="preserve"> SEQ 图 \* ARABIC </w:instrText>
      </w:r>
      <w:r>
        <w:rPr>
          <w:b/>
          <w:sz w:val="21"/>
        </w:rPr>
        <w:fldChar w:fldCharType="separate"/>
      </w:r>
      <w:r>
        <w:rPr>
          <w:b/>
          <w:sz w:val="21"/>
        </w:rPr>
        <w:t>2</w:t>
      </w:r>
      <w:r>
        <w:rPr>
          <w:b/>
          <w:sz w:val="21"/>
        </w:rPr>
        <w:fldChar w:fldCharType="end"/>
      </w:r>
      <w:r>
        <w:rPr>
          <w:b/>
          <w:sz w:val="21"/>
        </w:rPr>
        <w:t xml:space="preserve"> 2015-2020年沈阳市节能建筑竣工建筑面积统计</w:t>
      </w:r>
    </w:p>
    <w:p w14:paraId="4C82202A"/>
    <w:p w14:paraId="175FB5B8">
      <w:r>
        <w:drawing>
          <wp:inline distT="0" distB="0" distL="0" distR="0">
            <wp:extent cx="5274310" cy="3302000"/>
            <wp:effectExtent l="0" t="0" r="2540" b="12700"/>
            <wp:docPr id="49" name="图表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3364DB3">
      <w:pPr>
        <w:spacing w:before="156" w:beforeLines="50" w:after="156" w:afterLines="50"/>
        <w:ind w:firstLine="422"/>
        <w:jc w:val="center"/>
        <w:rPr>
          <w:b/>
          <w:sz w:val="21"/>
        </w:rPr>
      </w:pPr>
      <w:r>
        <w:rPr>
          <w:rFonts w:hint="eastAsia"/>
          <w:b/>
          <w:sz w:val="21"/>
        </w:rPr>
        <w:t>图3</w:t>
      </w:r>
      <w:r>
        <w:rPr>
          <w:b/>
          <w:sz w:val="21"/>
        </w:rPr>
        <w:t>-</w:t>
      </w:r>
      <w:r>
        <w:rPr>
          <w:b/>
          <w:sz w:val="21"/>
        </w:rPr>
        <w:fldChar w:fldCharType="begin"/>
      </w:r>
      <w:r>
        <w:rPr>
          <w:b/>
          <w:sz w:val="21"/>
        </w:rPr>
        <w:instrText xml:space="preserve"> SEQ 图 \* ARABIC </w:instrText>
      </w:r>
      <w:r>
        <w:rPr>
          <w:b/>
          <w:sz w:val="21"/>
        </w:rPr>
        <w:fldChar w:fldCharType="separate"/>
      </w:r>
      <w:r>
        <w:rPr>
          <w:b/>
          <w:sz w:val="21"/>
        </w:rPr>
        <w:t>3</w:t>
      </w:r>
      <w:r>
        <w:rPr>
          <w:b/>
          <w:sz w:val="21"/>
        </w:rPr>
        <w:fldChar w:fldCharType="end"/>
      </w:r>
      <w:r>
        <w:rPr>
          <w:b/>
          <w:sz w:val="21"/>
        </w:rPr>
        <w:t xml:space="preserve"> 2015-2019年沈阳市节能（</w:t>
      </w:r>
      <w:r>
        <w:rPr>
          <w:rFonts w:hint="eastAsia"/>
          <w:b/>
          <w:sz w:val="21"/>
        </w:rPr>
        <w:t>居住、公共</w:t>
      </w:r>
      <w:r>
        <w:rPr>
          <w:b/>
          <w:sz w:val="21"/>
        </w:rPr>
        <w:t>）建筑竣工建筑面积统计</w:t>
      </w:r>
    </w:p>
    <w:p w14:paraId="7714B54D">
      <w:pPr>
        <w:spacing w:before="120" w:line="360" w:lineRule="auto"/>
        <w:rPr>
          <w:lang w:val="zh-TW" w:eastAsia="zh-TW" w:bidi="zh-TW"/>
        </w:rPr>
      </w:pPr>
      <w:r>
        <w:rPr>
          <w:lang w:val="zh-TW" w:eastAsia="zh-TW" w:bidi="zh-TW"/>
        </w:rPr>
        <w:t>2015-2019年沈阳市各区县节能建筑竣工情况（</w:t>
      </w:r>
      <w:r>
        <w:rPr>
          <w:lang w:val="zh-TW" w:eastAsia="zh-TW" w:bidi="zh-TW"/>
        </w:rPr>
        <w:fldChar w:fldCharType="begin"/>
      </w:r>
      <w:r>
        <w:rPr>
          <w:lang w:val="zh-TW" w:eastAsia="zh-TW" w:bidi="zh-TW"/>
        </w:rPr>
        <w:instrText xml:space="preserve"> REF _Ref68594163 \h  \* MERGEFORMAT </w:instrText>
      </w:r>
      <w:r>
        <w:rPr>
          <w:lang w:val="zh-TW" w:eastAsia="zh-TW" w:bidi="zh-TW"/>
        </w:rPr>
        <w:fldChar w:fldCharType="separate"/>
      </w:r>
      <w:r>
        <w:rPr>
          <w:rFonts w:hint="eastAsia"/>
        </w:rPr>
        <w:t>表</w:t>
      </w:r>
      <w:r>
        <w:t>3-2</w:t>
      </w:r>
      <w:r>
        <w:rPr>
          <w:lang w:val="zh-TW" w:eastAsia="zh-TW" w:bidi="zh-TW"/>
        </w:rPr>
        <w:fldChar w:fldCharType="end"/>
      </w:r>
      <w:r>
        <w:rPr>
          <w:lang w:val="zh-TW" w:eastAsia="zh-TW" w:bidi="zh-TW"/>
        </w:rPr>
        <w:t>）整理了2015-2019年间沈阳市除皇姑区和辽中区各区县的节能居住建筑与节能公共建筑的累计竣工情况。其中，苏家屯区的节能建筑项目数量最多，共1159个项目，包括1091个节能居住建筑项目和68个节能公共建筑项目；浑南区的节能建筑竣工面积最大，共1922.7m</w:t>
      </w:r>
      <w:r>
        <w:rPr>
          <w:vertAlign w:val="superscript"/>
          <w:lang w:val="zh-TW" w:eastAsia="zh-TW" w:bidi="zh-TW"/>
        </w:rPr>
        <w:t>2</w:t>
      </w:r>
      <w:r>
        <w:rPr>
          <w:lang w:val="zh-TW" w:eastAsia="zh-TW" w:bidi="zh-TW"/>
        </w:rPr>
        <w:t>，包括节能居住建筑竣工面积1672.9m</w:t>
      </w:r>
      <w:r>
        <w:rPr>
          <w:vertAlign w:val="superscript"/>
          <w:lang w:val="zh-TW" w:eastAsia="zh-TW" w:bidi="zh-TW"/>
        </w:rPr>
        <w:t>2</w:t>
      </w:r>
      <w:r>
        <w:rPr>
          <w:rFonts w:hint="eastAsia"/>
          <w:lang w:val="zh-TW" w:eastAsia="zh-TW" w:bidi="zh-TW"/>
        </w:rPr>
        <w:t>和节能公共建筑竣工面积</w:t>
      </w:r>
      <w:r>
        <w:rPr>
          <w:lang w:val="zh-TW" w:eastAsia="zh-TW" w:bidi="zh-TW"/>
        </w:rPr>
        <w:t>249.8m</w:t>
      </w:r>
      <w:r>
        <w:rPr>
          <w:vertAlign w:val="superscript"/>
          <w:lang w:val="zh-TW" w:eastAsia="zh-TW" w:bidi="zh-TW"/>
        </w:rPr>
        <w:t>2</w:t>
      </w:r>
      <w:r>
        <w:rPr>
          <w:rFonts w:hint="eastAsia"/>
          <w:lang w:val="zh-TW" w:eastAsia="zh-TW" w:bidi="zh-TW"/>
        </w:rPr>
        <w:t>。</w:t>
      </w:r>
    </w:p>
    <w:p w14:paraId="5709D7FB">
      <w:r>
        <w:t>表3-</w:t>
      </w:r>
      <w:r>
        <w:fldChar w:fldCharType="begin"/>
      </w:r>
      <w:r>
        <w:instrText xml:space="preserve"> SEQ 表3- \* ARABIC </w:instrText>
      </w:r>
      <w:r>
        <w:fldChar w:fldCharType="separate"/>
      </w:r>
      <w:r>
        <w:t>6</w:t>
      </w:r>
      <w:r>
        <w:fldChar w:fldCharType="end"/>
      </w:r>
      <w:r>
        <w:t xml:space="preserve"> 2015-2019</w:t>
      </w:r>
      <w:r>
        <w:rPr>
          <w:rFonts w:hint="eastAsia"/>
        </w:rPr>
        <w:t>年沈阳市各区县节能建筑竣工情况</w:t>
      </w:r>
      <w:r>
        <w:tab/>
      </w:r>
    </w:p>
    <w:tbl>
      <w:tblPr>
        <w:tblStyle w:val="20"/>
        <w:tblW w:w="8960" w:type="dxa"/>
        <w:jc w:val="center"/>
        <w:tblLayout w:type="autofit"/>
        <w:tblCellMar>
          <w:top w:w="0" w:type="dxa"/>
          <w:left w:w="108" w:type="dxa"/>
          <w:bottom w:w="0" w:type="dxa"/>
          <w:right w:w="108" w:type="dxa"/>
        </w:tblCellMar>
      </w:tblPr>
      <w:tblGrid>
        <w:gridCol w:w="1280"/>
        <w:gridCol w:w="1280"/>
        <w:gridCol w:w="1280"/>
        <w:gridCol w:w="1280"/>
        <w:gridCol w:w="1280"/>
        <w:gridCol w:w="1280"/>
        <w:gridCol w:w="1280"/>
      </w:tblGrid>
      <w:tr w14:paraId="40ECBBCA">
        <w:tblPrEx>
          <w:tblCellMar>
            <w:top w:w="0" w:type="dxa"/>
            <w:left w:w="108" w:type="dxa"/>
            <w:bottom w:w="0" w:type="dxa"/>
            <w:right w:w="108" w:type="dxa"/>
          </w:tblCellMar>
        </w:tblPrEx>
        <w:trPr>
          <w:trHeight w:val="285" w:hRule="atLeast"/>
          <w:jc w:val="center"/>
        </w:trPr>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F760B">
            <w:pPr>
              <w:pStyle w:val="40"/>
            </w:pPr>
            <w:r>
              <w:rPr>
                <w:rFonts w:hint="eastAsia"/>
              </w:rPr>
              <w:t>区划</w:t>
            </w:r>
          </w:p>
        </w:tc>
        <w:tc>
          <w:tcPr>
            <w:tcW w:w="2560" w:type="dxa"/>
            <w:gridSpan w:val="2"/>
            <w:tcBorders>
              <w:top w:val="single" w:color="auto" w:sz="4" w:space="0"/>
              <w:left w:val="nil"/>
              <w:bottom w:val="single" w:color="auto" w:sz="4" w:space="0"/>
              <w:right w:val="single" w:color="000000" w:sz="4" w:space="0"/>
            </w:tcBorders>
            <w:shd w:val="clear" w:color="auto" w:fill="auto"/>
            <w:noWrap/>
            <w:vAlign w:val="bottom"/>
          </w:tcPr>
          <w:p w14:paraId="5F5DCA6D">
            <w:pPr>
              <w:pStyle w:val="40"/>
            </w:pPr>
            <w:r>
              <w:rPr>
                <w:rFonts w:hint="eastAsia"/>
              </w:rPr>
              <w:t>节能居住建筑</w:t>
            </w:r>
          </w:p>
        </w:tc>
        <w:tc>
          <w:tcPr>
            <w:tcW w:w="2560" w:type="dxa"/>
            <w:gridSpan w:val="2"/>
            <w:tcBorders>
              <w:top w:val="single" w:color="auto" w:sz="4" w:space="0"/>
              <w:left w:val="nil"/>
              <w:bottom w:val="single" w:color="auto" w:sz="4" w:space="0"/>
              <w:right w:val="single" w:color="000000" w:sz="4" w:space="0"/>
            </w:tcBorders>
            <w:shd w:val="clear" w:color="auto" w:fill="auto"/>
            <w:noWrap/>
            <w:vAlign w:val="bottom"/>
          </w:tcPr>
          <w:p w14:paraId="50CE636C">
            <w:pPr>
              <w:pStyle w:val="40"/>
            </w:pPr>
            <w:r>
              <w:rPr>
                <w:rFonts w:hint="eastAsia"/>
              </w:rPr>
              <w:t>节能公共建筑</w:t>
            </w:r>
          </w:p>
        </w:tc>
        <w:tc>
          <w:tcPr>
            <w:tcW w:w="2560" w:type="dxa"/>
            <w:gridSpan w:val="2"/>
            <w:tcBorders>
              <w:top w:val="single" w:color="auto" w:sz="4" w:space="0"/>
              <w:left w:val="nil"/>
              <w:bottom w:val="single" w:color="auto" w:sz="4" w:space="0"/>
              <w:right w:val="single" w:color="000000" w:sz="4" w:space="0"/>
            </w:tcBorders>
            <w:shd w:val="clear" w:color="auto" w:fill="auto"/>
            <w:noWrap/>
            <w:vAlign w:val="bottom"/>
          </w:tcPr>
          <w:p w14:paraId="0308611C">
            <w:pPr>
              <w:pStyle w:val="40"/>
            </w:pPr>
            <w:r>
              <w:rPr>
                <w:rFonts w:hint="eastAsia"/>
              </w:rPr>
              <w:t>合计</w:t>
            </w:r>
          </w:p>
        </w:tc>
      </w:tr>
      <w:tr w14:paraId="10D33D1C">
        <w:tblPrEx>
          <w:tblCellMar>
            <w:top w:w="0" w:type="dxa"/>
            <w:left w:w="108" w:type="dxa"/>
            <w:bottom w:w="0" w:type="dxa"/>
            <w:right w:w="108" w:type="dxa"/>
          </w:tblCellMar>
        </w:tblPrEx>
        <w:trPr>
          <w:trHeight w:val="675" w:hRule="atLeast"/>
          <w:jc w:val="center"/>
        </w:trPr>
        <w:tc>
          <w:tcPr>
            <w:tcW w:w="1280" w:type="dxa"/>
            <w:vMerge w:val="continue"/>
            <w:tcBorders>
              <w:top w:val="single" w:color="auto" w:sz="4" w:space="0"/>
              <w:left w:val="single" w:color="auto" w:sz="4" w:space="0"/>
              <w:bottom w:val="single" w:color="auto" w:sz="4" w:space="0"/>
              <w:right w:val="single" w:color="auto" w:sz="4" w:space="0"/>
            </w:tcBorders>
            <w:vAlign w:val="center"/>
          </w:tcPr>
          <w:p w14:paraId="3C761866">
            <w:pPr>
              <w:pStyle w:val="40"/>
            </w:pPr>
          </w:p>
        </w:tc>
        <w:tc>
          <w:tcPr>
            <w:tcW w:w="1280" w:type="dxa"/>
            <w:tcBorders>
              <w:top w:val="nil"/>
              <w:left w:val="nil"/>
              <w:bottom w:val="single" w:color="auto" w:sz="4" w:space="0"/>
              <w:right w:val="single" w:color="auto" w:sz="4" w:space="0"/>
            </w:tcBorders>
            <w:shd w:val="clear" w:color="auto" w:fill="auto"/>
            <w:vAlign w:val="center"/>
          </w:tcPr>
          <w:p w14:paraId="380484DF">
            <w:pPr>
              <w:pStyle w:val="40"/>
            </w:pPr>
            <w:r>
              <w:rPr>
                <w:rFonts w:hint="eastAsia"/>
              </w:rPr>
              <w:t>项目数量</w:t>
            </w:r>
            <w:r>
              <w:br w:type="textWrapping"/>
            </w:r>
            <w:r>
              <w:t>(</w:t>
            </w:r>
            <w:r>
              <w:rPr>
                <w:rFonts w:hint="eastAsia"/>
              </w:rPr>
              <w:t>个</w:t>
            </w:r>
            <w:r>
              <w:t>)</w:t>
            </w:r>
          </w:p>
        </w:tc>
        <w:tc>
          <w:tcPr>
            <w:tcW w:w="1280" w:type="dxa"/>
            <w:tcBorders>
              <w:top w:val="nil"/>
              <w:left w:val="nil"/>
              <w:bottom w:val="single" w:color="auto" w:sz="4" w:space="0"/>
              <w:right w:val="single" w:color="auto" w:sz="4" w:space="0"/>
            </w:tcBorders>
            <w:shd w:val="clear" w:color="auto" w:fill="auto"/>
            <w:vAlign w:val="center"/>
          </w:tcPr>
          <w:p w14:paraId="3A2F83D8">
            <w:pPr>
              <w:pStyle w:val="40"/>
            </w:pPr>
            <w:r>
              <w:rPr>
                <w:rFonts w:hint="eastAsia"/>
              </w:rPr>
              <w:t>建筑面积</w:t>
            </w:r>
            <w:r>
              <w:br w:type="textWrapping"/>
            </w:r>
            <w:r>
              <w:t>(</w:t>
            </w:r>
            <w:r>
              <w:rPr>
                <w:rFonts w:hint="eastAsia"/>
              </w:rPr>
              <w:t>万</w:t>
            </w:r>
            <w:r>
              <w:t>m2)</w:t>
            </w:r>
          </w:p>
        </w:tc>
        <w:tc>
          <w:tcPr>
            <w:tcW w:w="1280" w:type="dxa"/>
            <w:tcBorders>
              <w:top w:val="nil"/>
              <w:left w:val="nil"/>
              <w:bottom w:val="single" w:color="auto" w:sz="4" w:space="0"/>
              <w:right w:val="single" w:color="auto" w:sz="4" w:space="0"/>
            </w:tcBorders>
            <w:shd w:val="clear" w:color="auto" w:fill="auto"/>
            <w:vAlign w:val="center"/>
          </w:tcPr>
          <w:p w14:paraId="2B9FE051">
            <w:pPr>
              <w:pStyle w:val="40"/>
            </w:pPr>
            <w:r>
              <w:rPr>
                <w:rFonts w:hint="eastAsia"/>
              </w:rPr>
              <w:t>项目数量</w:t>
            </w:r>
            <w:r>
              <w:br w:type="textWrapping"/>
            </w:r>
            <w:r>
              <w:t>(</w:t>
            </w:r>
            <w:r>
              <w:rPr>
                <w:rFonts w:hint="eastAsia"/>
              </w:rPr>
              <w:t>个</w:t>
            </w:r>
            <w:r>
              <w:t>)</w:t>
            </w:r>
          </w:p>
        </w:tc>
        <w:tc>
          <w:tcPr>
            <w:tcW w:w="1280" w:type="dxa"/>
            <w:tcBorders>
              <w:top w:val="nil"/>
              <w:left w:val="nil"/>
              <w:bottom w:val="single" w:color="auto" w:sz="4" w:space="0"/>
              <w:right w:val="single" w:color="auto" w:sz="4" w:space="0"/>
            </w:tcBorders>
            <w:shd w:val="clear" w:color="auto" w:fill="auto"/>
            <w:vAlign w:val="center"/>
          </w:tcPr>
          <w:p w14:paraId="7D6E6981">
            <w:pPr>
              <w:pStyle w:val="40"/>
            </w:pPr>
            <w:r>
              <w:rPr>
                <w:rFonts w:hint="eastAsia"/>
              </w:rPr>
              <w:t>建筑面积</w:t>
            </w:r>
            <w:r>
              <w:br w:type="textWrapping"/>
            </w:r>
            <w:r>
              <w:t>(</w:t>
            </w:r>
            <w:r>
              <w:rPr>
                <w:rFonts w:hint="eastAsia"/>
              </w:rPr>
              <w:t>万</w:t>
            </w:r>
            <w:r>
              <w:t>m2)</w:t>
            </w:r>
          </w:p>
        </w:tc>
        <w:tc>
          <w:tcPr>
            <w:tcW w:w="1280" w:type="dxa"/>
            <w:tcBorders>
              <w:top w:val="nil"/>
              <w:left w:val="nil"/>
              <w:bottom w:val="single" w:color="auto" w:sz="4" w:space="0"/>
              <w:right w:val="single" w:color="auto" w:sz="4" w:space="0"/>
            </w:tcBorders>
            <w:shd w:val="clear" w:color="auto" w:fill="auto"/>
            <w:vAlign w:val="bottom"/>
          </w:tcPr>
          <w:p w14:paraId="3D2ACFAD">
            <w:pPr>
              <w:pStyle w:val="40"/>
            </w:pPr>
            <w:r>
              <w:rPr>
                <w:rFonts w:hint="eastAsia"/>
              </w:rPr>
              <w:t>项目数量</w:t>
            </w:r>
            <w:r>
              <w:br w:type="textWrapping"/>
            </w:r>
            <w:r>
              <w:t>(</w:t>
            </w:r>
            <w:r>
              <w:rPr>
                <w:rFonts w:hint="eastAsia"/>
              </w:rPr>
              <w:t>个</w:t>
            </w:r>
            <w:r>
              <w:t>)</w:t>
            </w:r>
          </w:p>
        </w:tc>
        <w:tc>
          <w:tcPr>
            <w:tcW w:w="1280" w:type="dxa"/>
            <w:tcBorders>
              <w:top w:val="nil"/>
              <w:left w:val="nil"/>
              <w:bottom w:val="single" w:color="auto" w:sz="4" w:space="0"/>
              <w:right w:val="single" w:color="auto" w:sz="4" w:space="0"/>
            </w:tcBorders>
            <w:shd w:val="clear" w:color="auto" w:fill="auto"/>
            <w:vAlign w:val="bottom"/>
          </w:tcPr>
          <w:p w14:paraId="6E7322FC">
            <w:pPr>
              <w:pStyle w:val="40"/>
            </w:pPr>
            <w:r>
              <w:rPr>
                <w:rFonts w:hint="eastAsia"/>
              </w:rPr>
              <w:t>建筑面积</w:t>
            </w:r>
            <w:r>
              <w:br w:type="textWrapping"/>
            </w:r>
            <w:r>
              <w:t>(</w:t>
            </w:r>
            <w:r>
              <w:rPr>
                <w:rFonts w:hint="eastAsia"/>
              </w:rPr>
              <w:t>万</w:t>
            </w:r>
            <w:r>
              <w:t>m2)</w:t>
            </w:r>
          </w:p>
        </w:tc>
      </w:tr>
      <w:tr w14:paraId="2FC49AAF">
        <w:tblPrEx>
          <w:tblCellMar>
            <w:top w:w="0" w:type="dxa"/>
            <w:left w:w="108" w:type="dxa"/>
            <w:bottom w:w="0" w:type="dxa"/>
            <w:right w:w="108" w:type="dxa"/>
          </w:tblCellMar>
        </w:tblPrEx>
        <w:trPr>
          <w:trHeight w:val="37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6864DEB9">
            <w:pPr>
              <w:pStyle w:val="40"/>
            </w:pPr>
            <w:r>
              <w:rPr>
                <w:rFonts w:hint="eastAsia"/>
              </w:rPr>
              <w:t>和平区</w:t>
            </w:r>
          </w:p>
        </w:tc>
        <w:tc>
          <w:tcPr>
            <w:tcW w:w="1280" w:type="dxa"/>
            <w:tcBorders>
              <w:top w:val="nil"/>
              <w:left w:val="nil"/>
              <w:bottom w:val="single" w:color="auto" w:sz="4" w:space="0"/>
              <w:right w:val="single" w:color="auto" w:sz="4" w:space="0"/>
            </w:tcBorders>
            <w:shd w:val="clear" w:color="auto" w:fill="auto"/>
            <w:noWrap/>
            <w:vAlign w:val="bottom"/>
          </w:tcPr>
          <w:p w14:paraId="36AC7AF4">
            <w:pPr>
              <w:pStyle w:val="40"/>
            </w:pPr>
            <w:r>
              <w:t>78</w:t>
            </w:r>
          </w:p>
        </w:tc>
        <w:tc>
          <w:tcPr>
            <w:tcW w:w="1280" w:type="dxa"/>
            <w:tcBorders>
              <w:top w:val="nil"/>
              <w:left w:val="nil"/>
              <w:bottom w:val="single" w:color="auto" w:sz="4" w:space="0"/>
              <w:right w:val="single" w:color="auto" w:sz="4" w:space="0"/>
            </w:tcBorders>
            <w:shd w:val="clear" w:color="auto" w:fill="auto"/>
            <w:noWrap/>
            <w:vAlign w:val="bottom"/>
          </w:tcPr>
          <w:p w14:paraId="72B23644">
            <w:pPr>
              <w:pStyle w:val="40"/>
            </w:pPr>
            <w:r>
              <w:t>946</w:t>
            </w:r>
          </w:p>
        </w:tc>
        <w:tc>
          <w:tcPr>
            <w:tcW w:w="1280" w:type="dxa"/>
            <w:tcBorders>
              <w:top w:val="nil"/>
              <w:left w:val="nil"/>
              <w:bottom w:val="single" w:color="auto" w:sz="4" w:space="0"/>
              <w:right w:val="single" w:color="auto" w:sz="4" w:space="0"/>
            </w:tcBorders>
            <w:shd w:val="clear" w:color="auto" w:fill="auto"/>
            <w:noWrap/>
            <w:vAlign w:val="bottom"/>
          </w:tcPr>
          <w:p w14:paraId="25060D92">
            <w:pPr>
              <w:pStyle w:val="40"/>
            </w:pPr>
            <w:r>
              <w:t>24</w:t>
            </w:r>
          </w:p>
        </w:tc>
        <w:tc>
          <w:tcPr>
            <w:tcW w:w="1280" w:type="dxa"/>
            <w:tcBorders>
              <w:top w:val="nil"/>
              <w:left w:val="nil"/>
              <w:bottom w:val="single" w:color="auto" w:sz="4" w:space="0"/>
              <w:right w:val="single" w:color="auto" w:sz="4" w:space="0"/>
            </w:tcBorders>
            <w:shd w:val="clear" w:color="auto" w:fill="auto"/>
            <w:noWrap/>
            <w:vAlign w:val="bottom"/>
          </w:tcPr>
          <w:p w14:paraId="694B570B">
            <w:pPr>
              <w:pStyle w:val="40"/>
            </w:pPr>
            <w:r>
              <w:t>226</w:t>
            </w:r>
          </w:p>
        </w:tc>
        <w:tc>
          <w:tcPr>
            <w:tcW w:w="1280" w:type="dxa"/>
            <w:tcBorders>
              <w:top w:val="nil"/>
              <w:left w:val="nil"/>
              <w:bottom w:val="single" w:color="auto" w:sz="4" w:space="0"/>
              <w:right w:val="single" w:color="auto" w:sz="4" w:space="0"/>
            </w:tcBorders>
            <w:shd w:val="clear" w:color="auto" w:fill="auto"/>
            <w:noWrap/>
            <w:vAlign w:val="bottom"/>
          </w:tcPr>
          <w:p w14:paraId="24960E37">
            <w:pPr>
              <w:pStyle w:val="40"/>
            </w:pPr>
            <w:r>
              <w:t>102</w:t>
            </w:r>
          </w:p>
        </w:tc>
        <w:tc>
          <w:tcPr>
            <w:tcW w:w="1280" w:type="dxa"/>
            <w:tcBorders>
              <w:top w:val="nil"/>
              <w:left w:val="nil"/>
              <w:bottom w:val="single" w:color="auto" w:sz="4" w:space="0"/>
              <w:right w:val="single" w:color="auto" w:sz="4" w:space="0"/>
            </w:tcBorders>
            <w:shd w:val="clear" w:color="auto" w:fill="auto"/>
            <w:noWrap/>
            <w:vAlign w:val="bottom"/>
          </w:tcPr>
          <w:p w14:paraId="56A5970D">
            <w:pPr>
              <w:pStyle w:val="40"/>
            </w:pPr>
            <w:r>
              <w:t>1172</w:t>
            </w:r>
          </w:p>
        </w:tc>
      </w:tr>
      <w:tr w14:paraId="407DDD62">
        <w:tblPrEx>
          <w:tblCellMar>
            <w:top w:w="0" w:type="dxa"/>
            <w:left w:w="108" w:type="dxa"/>
            <w:bottom w:w="0" w:type="dxa"/>
            <w:right w:w="108" w:type="dxa"/>
          </w:tblCellMar>
        </w:tblPrEx>
        <w:trPr>
          <w:trHeight w:val="37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2A7E516A">
            <w:pPr>
              <w:pStyle w:val="40"/>
            </w:pPr>
            <w:r>
              <w:rPr>
                <w:rFonts w:hint="eastAsia"/>
              </w:rPr>
              <w:t>沈河区</w:t>
            </w:r>
          </w:p>
        </w:tc>
        <w:tc>
          <w:tcPr>
            <w:tcW w:w="1280" w:type="dxa"/>
            <w:tcBorders>
              <w:top w:val="nil"/>
              <w:left w:val="nil"/>
              <w:bottom w:val="single" w:color="auto" w:sz="4" w:space="0"/>
              <w:right w:val="single" w:color="auto" w:sz="4" w:space="0"/>
            </w:tcBorders>
            <w:shd w:val="clear" w:color="auto" w:fill="auto"/>
            <w:noWrap/>
            <w:vAlign w:val="bottom"/>
          </w:tcPr>
          <w:p w14:paraId="1AC88F28">
            <w:pPr>
              <w:pStyle w:val="40"/>
            </w:pPr>
            <w:r>
              <w:t>59</w:t>
            </w:r>
          </w:p>
        </w:tc>
        <w:tc>
          <w:tcPr>
            <w:tcW w:w="1280" w:type="dxa"/>
            <w:tcBorders>
              <w:top w:val="nil"/>
              <w:left w:val="nil"/>
              <w:bottom w:val="single" w:color="auto" w:sz="4" w:space="0"/>
              <w:right w:val="single" w:color="auto" w:sz="4" w:space="0"/>
            </w:tcBorders>
            <w:shd w:val="clear" w:color="auto" w:fill="auto"/>
            <w:noWrap/>
            <w:vAlign w:val="bottom"/>
          </w:tcPr>
          <w:p w14:paraId="3A13B75D">
            <w:pPr>
              <w:pStyle w:val="40"/>
            </w:pPr>
            <w:r>
              <w:t>703.59</w:t>
            </w:r>
          </w:p>
        </w:tc>
        <w:tc>
          <w:tcPr>
            <w:tcW w:w="1280" w:type="dxa"/>
            <w:tcBorders>
              <w:top w:val="nil"/>
              <w:left w:val="nil"/>
              <w:bottom w:val="single" w:color="auto" w:sz="4" w:space="0"/>
              <w:right w:val="single" w:color="auto" w:sz="4" w:space="0"/>
            </w:tcBorders>
            <w:shd w:val="clear" w:color="auto" w:fill="auto"/>
            <w:noWrap/>
            <w:vAlign w:val="bottom"/>
          </w:tcPr>
          <w:p w14:paraId="0C6C6923">
            <w:pPr>
              <w:pStyle w:val="40"/>
            </w:pPr>
            <w:r>
              <w:t>49</w:t>
            </w:r>
          </w:p>
        </w:tc>
        <w:tc>
          <w:tcPr>
            <w:tcW w:w="1280" w:type="dxa"/>
            <w:tcBorders>
              <w:top w:val="nil"/>
              <w:left w:val="nil"/>
              <w:bottom w:val="single" w:color="auto" w:sz="4" w:space="0"/>
              <w:right w:val="single" w:color="auto" w:sz="4" w:space="0"/>
            </w:tcBorders>
            <w:shd w:val="clear" w:color="auto" w:fill="auto"/>
            <w:noWrap/>
            <w:vAlign w:val="bottom"/>
          </w:tcPr>
          <w:p w14:paraId="56344155">
            <w:pPr>
              <w:pStyle w:val="40"/>
            </w:pPr>
            <w:r>
              <w:t>1125.69</w:t>
            </w:r>
          </w:p>
        </w:tc>
        <w:tc>
          <w:tcPr>
            <w:tcW w:w="1280" w:type="dxa"/>
            <w:tcBorders>
              <w:top w:val="nil"/>
              <w:left w:val="nil"/>
              <w:bottom w:val="single" w:color="auto" w:sz="4" w:space="0"/>
              <w:right w:val="single" w:color="auto" w:sz="4" w:space="0"/>
            </w:tcBorders>
            <w:shd w:val="clear" w:color="auto" w:fill="auto"/>
            <w:noWrap/>
            <w:vAlign w:val="bottom"/>
          </w:tcPr>
          <w:p w14:paraId="7BC2EBB0">
            <w:pPr>
              <w:pStyle w:val="40"/>
            </w:pPr>
            <w:r>
              <w:t>108</w:t>
            </w:r>
          </w:p>
        </w:tc>
        <w:tc>
          <w:tcPr>
            <w:tcW w:w="1280" w:type="dxa"/>
            <w:tcBorders>
              <w:top w:val="nil"/>
              <w:left w:val="nil"/>
              <w:bottom w:val="single" w:color="auto" w:sz="4" w:space="0"/>
              <w:right w:val="single" w:color="auto" w:sz="4" w:space="0"/>
            </w:tcBorders>
            <w:shd w:val="clear" w:color="auto" w:fill="auto"/>
            <w:noWrap/>
            <w:vAlign w:val="bottom"/>
          </w:tcPr>
          <w:p w14:paraId="6940191E">
            <w:pPr>
              <w:pStyle w:val="40"/>
            </w:pPr>
            <w:r>
              <w:t>1829.28</w:t>
            </w:r>
          </w:p>
        </w:tc>
      </w:tr>
      <w:tr w14:paraId="7FDC2ED0">
        <w:tblPrEx>
          <w:tblCellMar>
            <w:top w:w="0" w:type="dxa"/>
            <w:left w:w="108" w:type="dxa"/>
            <w:bottom w:w="0" w:type="dxa"/>
            <w:right w:w="108" w:type="dxa"/>
          </w:tblCellMar>
        </w:tblPrEx>
        <w:trPr>
          <w:trHeight w:val="37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38C1EF74">
            <w:pPr>
              <w:pStyle w:val="40"/>
            </w:pPr>
            <w:r>
              <w:rPr>
                <w:rFonts w:hint="eastAsia"/>
              </w:rPr>
              <w:t>大东区</w:t>
            </w:r>
          </w:p>
        </w:tc>
        <w:tc>
          <w:tcPr>
            <w:tcW w:w="1280" w:type="dxa"/>
            <w:tcBorders>
              <w:top w:val="nil"/>
              <w:left w:val="nil"/>
              <w:bottom w:val="single" w:color="auto" w:sz="4" w:space="0"/>
              <w:right w:val="single" w:color="auto" w:sz="4" w:space="0"/>
            </w:tcBorders>
            <w:shd w:val="clear" w:color="auto" w:fill="auto"/>
            <w:noWrap/>
            <w:vAlign w:val="bottom"/>
          </w:tcPr>
          <w:p w14:paraId="0CAEE223">
            <w:pPr>
              <w:pStyle w:val="40"/>
            </w:pPr>
            <w:r>
              <w:t>12</w:t>
            </w:r>
          </w:p>
        </w:tc>
        <w:tc>
          <w:tcPr>
            <w:tcW w:w="1280" w:type="dxa"/>
            <w:tcBorders>
              <w:top w:val="nil"/>
              <w:left w:val="nil"/>
              <w:bottom w:val="single" w:color="auto" w:sz="4" w:space="0"/>
              <w:right w:val="single" w:color="auto" w:sz="4" w:space="0"/>
            </w:tcBorders>
            <w:shd w:val="clear" w:color="auto" w:fill="auto"/>
            <w:noWrap/>
            <w:vAlign w:val="bottom"/>
          </w:tcPr>
          <w:p w14:paraId="424AA1CD">
            <w:pPr>
              <w:pStyle w:val="40"/>
            </w:pPr>
            <w:r>
              <w:t>206</w:t>
            </w:r>
          </w:p>
        </w:tc>
        <w:tc>
          <w:tcPr>
            <w:tcW w:w="1280" w:type="dxa"/>
            <w:tcBorders>
              <w:top w:val="nil"/>
              <w:left w:val="nil"/>
              <w:bottom w:val="single" w:color="auto" w:sz="4" w:space="0"/>
              <w:right w:val="single" w:color="auto" w:sz="4" w:space="0"/>
            </w:tcBorders>
            <w:shd w:val="clear" w:color="auto" w:fill="auto"/>
            <w:noWrap/>
            <w:vAlign w:val="bottom"/>
          </w:tcPr>
          <w:p w14:paraId="36B3C681">
            <w:pPr>
              <w:pStyle w:val="40"/>
            </w:pPr>
            <w:r>
              <w:t>8</w:t>
            </w:r>
          </w:p>
        </w:tc>
        <w:tc>
          <w:tcPr>
            <w:tcW w:w="1280" w:type="dxa"/>
            <w:tcBorders>
              <w:top w:val="nil"/>
              <w:left w:val="nil"/>
              <w:bottom w:val="single" w:color="auto" w:sz="4" w:space="0"/>
              <w:right w:val="single" w:color="auto" w:sz="4" w:space="0"/>
            </w:tcBorders>
            <w:shd w:val="clear" w:color="auto" w:fill="auto"/>
            <w:noWrap/>
            <w:vAlign w:val="bottom"/>
          </w:tcPr>
          <w:p w14:paraId="1B1B02FB">
            <w:pPr>
              <w:pStyle w:val="40"/>
            </w:pPr>
            <w:r>
              <w:t>17.74</w:t>
            </w:r>
          </w:p>
        </w:tc>
        <w:tc>
          <w:tcPr>
            <w:tcW w:w="1280" w:type="dxa"/>
            <w:tcBorders>
              <w:top w:val="nil"/>
              <w:left w:val="nil"/>
              <w:bottom w:val="single" w:color="auto" w:sz="4" w:space="0"/>
              <w:right w:val="single" w:color="auto" w:sz="4" w:space="0"/>
            </w:tcBorders>
            <w:shd w:val="clear" w:color="auto" w:fill="auto"/>
            <w:noWrap/>
            <w:vAlign w:val="bottom"/>
          </w:tcPr>
          <w:p w14:paraId="20CFE80F">
            <w:pPr>
              <w:pStyle w:val="40"/>
            </w:pPr>
            <w:r>
              <w:t>20</w:t>
            </w:r>
          </w:p>
        </w:tc>
        <w:tc>
          <w:tcPr>
            <w:tcW w:w="1280" w:type="dxa"/>
            <w:tcBorders>
              <w:top w:val="nil"/>
              <w:left w:val="nil"/>
              <w:bottom w:val="single" w:color="auto" w:sz="4" w:space="0"/>
              <w:right w:val="single" w:color="auto" w:sz="4" w:space="0"/>
            </w:tcBorders>
            <w:shd w:val="clear" w:color="auto" w:fill="auto"/>
            <w:noWrap/>
            <w:vAlign w:val="bottom"/>
          </w:tcPr>
          <w:p w14:paraId="76B5BAE3">
            <w:pPr>
              <w:pStyle w:val="40"/>
            </w:pPr>
            <w:r>
              <w:t>223.74</w:t>
            </w:r>
          </w:p>
        </w:tc>
      </w:tr>
      <w:tr w14:paraId="60D0F1A9">
        <w:tblPrEx>
          <w:tblCellMar>
            <w:top w:w="0" w:type="dxa"/>
            <w:left w:w="108" w:type="dxa"/>
            <w:bottom w:w="0" w:type="dxa"/>
            <w:right w:w="108" w:type="dxa"/>
          </w:tblCellMar>
        </w:tblPrEx>
        <w:trPr>
          <w:trHeight w:val="37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16086D08">
            <w:pPr>
              <w:pStyle w:val="40"/>
            </w:pPr>
            <w:r>
              <w:rPr>
                <w:rFonts w:hint="eastAsia"/>
              </w:rPr>
              <w:t>浑南区</w:t>
            </w:r>
          </w:p>
        </w:tc>
        <w:tc>
          <w:tcPr>
            <w:tcW w:w="1280" w:type="dxa"/>
            <w:tcBorders>
              <w:top w:val="nil"/>
              <w:left w:val="nil"/>
              <w:bottom w:val="single" w:color="auto" w:sz="4" w:space="0"/>
              <w:right w:val="single" w:color="auto" w:sz="4" w:space="0"/>
            </w:tcBorders>
            <w:shd w:val="clear" w:color="auto" w:fill="auto"/>
            <w:noWrap/>
            <w:vAlign w:val="bottom"/>
          </w:tcPr>
          <w:p w14:paraId="679B6682">
            <w:pPr>
              <w:pStyle w:val="40"/>
            </w:pPr>
            <w:r>
              <w:t>206</w:t>
            </w:r>
          </w:p>
        </w:tc>
        <w:tc>
          <w:tcPr>
            <w:tcW w:w="1280" w:type="dxa"/>
            <w:tcBorders>
              <w:top w:val="nil"/>
              <w:left w:val="nil"/>
              <w:bottom w:val="single" w:color="auto" w:sz="4" w:space="0"/>
              <w:right w:val="single" w:color="auto" w:sz="4" w:space="0"/>
            </w:tcBorders>
            <w:shd w:val="clear" w:color="auto" w:fill="auto"/>
            <w:noWrap/>
            <w:vAlign w:val="bottom"/>
          </w:tcPr>
          <w:p w14:paraId="78185CF5">
            <w:pPr>
              <w:pStyle w:val="40"/>
            </w:pPr>
            <w:r>
              <w:t>1672.9</w:t>
            </w:r>
          </w:p>
        </w:tc>
        <w:tc>
          <w:tcPr>
            <w:tcW w:w="1280" w:type="dxa"/>
            <w:tcBorders>
              <w:top w:val="nil"/>
              <w:left w:val="nil"/>
              <w:bottom w:val="single" w:color="auto" w:sz="4" w:space="0"/>
              <w:right w:val="single" w:color="auto" w:sz="4" w:space="0"/>
            </w:tcBorders>
            <w:shd w:val="clear" w:color="auto" w:fill="auto"/>
            <w:noWrap/>
            <w:vAlign w:val="bottom"/>
          </w:tcPr>
          <w:p w14:paraId="7BB8ACF1">
            <w:pPr>
              <w:pStyle w:val="40"/>
            </w:pPr>
            <w:r>
              <w:t>144</w:t>
            </w:r>
          </w:p>
        </w:tc>
        <w:tc>
          <w:tcPr>
            <w:tcW w:w="1280" w:type="dxa"/>
            <w:tcBorders>
              <w:top w:val="nil"/>
              <w:left w:val="nil"/>
              <w:bottom w:val="single" w:color="auto" w:sz="4" w:space="0"/>
              <w:right w:val="single" w:color="auto" w:sz="4" w:space="0"/>
            </w:tcBorders>
            <w:shd w:val="clear" w:color="auto" w:fill="auto"/>
            <w:noWrap/>
            <w:vAlign w:val="bottom"/>
          </w:tcPr>
          <w:p w14:paraId="5F5FA044">
            <w:pPr>
              <w:pStyle w:val="40"/>
            </w:pPr>
            <w:r>
              <w:t>249.8</w:t>
            </w:r>
          </w:p>
        </w:tc>
        <w:tc>
          <w:tcPr>
            <w:tcW w:w="1280" w:type="dxa"/>
            <w:tcBorders>
              <w:top w:val="nil"/>
              <w:left w:val="nil"/>
              <w:bottom w:val="single" w:color="auto" w:sz="4" w:space="0"/>
              <w:right w:val="single" w:color="auto" w:sz="4" w:space="0"/>
            </w:tcBorders>
            <w:shd w:val="clear" w:color="auto" w:fill="auto"/>
            <w:noWrap/>
            <w:vAlign w:val="bottom"/>
          </w:tcPr>
          <w:p w14:paraId="100D2EDB">
            <w:pPr>
              <w:pStyle w:val="40"/>
            </w:pPr>
            <w:r>
              <w:t>350</w:t>
            </w:r>
          </w:p>
        </w:tc>
        <w:tc>
          <w:tcPr>
            <w:tcW w:w="1280" w:type="dxa"/>
            <w:tcBorders>
              <w:top w:val="nil"/>
              <w:left w:val="nil"/>
              <w:bottom w:val="single" w:color="auto" w:sz="4" w:space="0"/>
              <w:right w:val="single" w:color="auto" w:sz="4" w:space="0"/>
            </w:tcBorders>
            <w:shd w:val="clear" w:color="auto" w:fill="auto"/>
            <w:noWrap/>
            <w:vAlign w:val="bottom"/>
          </w:tcPr>
          <w:p w14:paraId="13A13A1F">
            <w:pPr>
              <w:pStyle w:val="40"/>
            </w:pPr>
            <w:r>
              <w:t>1922.7</w:t>
            </w:r>
          </w:p>
        </w:tc>
      </w:tr>
      <w:tr w14:paraId="025818FA">
        <w:tblPrEx>
          <w:tblCellMar>
            <w:top w:w="0" w:type="dxa"/>
            <w:left w:w="108" w:type="dxa"/>
            <w:bottom w:w="0" w:type="dxa"/>
            <w:right w:w="108" w:type="dxa"/>
          </w:tblCellMar>
        </w:tblPrEx>
        <w:trPr>
          <w:trHeight w:val="37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4570B2A8">
            <w:pPr>
              <w:pStyle w:val="40"/>
            </w:pPr>
            <w:r>
              <w:rPr>
                <w:rFonts w:hint="eastAsia"/>
              </w:rPr>
              <w:t>于洪区</w:t>
            </w:r>
          </w:p>
        </w:tc>
        <w:tc>
          <w:tcPr>
            <w:tcW w:w="1280" w:type="dxa"/>
            <w:tcBorders>
              <w:top w:val="nil"/>
              <w:left w:val="nil"/>
              <w:bottom w:val="single" w:color="auto" w:sz="4" w:space="0"/>
              <w:right w:val="single" w:color="auto" w:sz="4" w:space="0"/>
            </w:tcBorders>
            <w:shd w:val="clear" w:color="auto" w:fill="auto"/>
            <w:noWrap/>
            <w:vAlign w:val="bottom"/>
          </w:tcPr>
          <w:p w14:paraId="30B2859B">
            <w:pPr>
              <w:pStyle w:val="40"/>
            </w:pPr>
            <w:r>
              <w:t>45</w:t>
            </w:r>
          </w:p>
        </w:tc>
        <w:tc>
          <w:tcPr>
            <w:tcW w:w="1280" w:type="dxa"/>
            <w:tcBorders>
              <w:top w:val="nil"/>
              <w:left w:val="nil"/>
              <w:bottom w:val="single" w:color="auto" w:sz="4" w:space="0"/>
              <w:right w:val="single" w:color="auto" w:sz="4" w:space="0"/>
            </w:tcBorders>
            <w:shd w:val="clear" w:color="auto" w:fill="auto"/>
            <w:noWrap/>
            <w:vAlign w:val="bottom"/>
          </w:tcPr>
          <w:p w14:paraId="38AC9A4A">
            <w:pPr>
              <w:pStyle w:val="40"/>
            </w:pPr>
            <w:r>
              <w:t>649.08</w:t>
            </w:r>
          </w:p>
        </w:tc>
        <w:tc>
          <w:tcPr>
            <w:tcW w:w="1280" w:type="dxa"/>
            <w:tcBorders>
              <w:top w:val="nil"/>
              <w:left w:val="nil"/>
              <w:bottom w:val="single" w:color="auto" w:sz="4" w:space="0"/>
              <w:right w:val="single" w:color="auto" w:sz="4" w:space="0"/>
            </w:tcBorders>
            <w:shd w:val="clear" w:color="auto" w:fill="auto"/>
            <w:noWrap/>
            <w:vAlign w:val="bottom"/>
          </w:tcPr>
          <w:p w14:paraId="3C2EFD0C">
            <w:pPr>
              <w:pStyle w:val="40"/>
            </w:pPr>
            <w:r>
              <w:t>24</w:t>
            </w:r>
          </w:p>
        </w:tc>
        <w:tc>
          <w:tcPr>
            <w:tcW w:w="1280" w:type="dxa"/>
            <w:tcBorders>
              <w:top w:val="nil"/>
              <w:left w:val="nil"/>
              <w:bottom w:val="single" w:color="auto" w:sz="4" w:space="0"/>
              <w:right w:val="single" w:color="auto" w:sz="4" w:space="0"/>
            </w:tcBorders>
            <w:shd w:val="clear" w:color="auto" w:fill="auto"/>
            <w:noWrap/>
            <w:vAlign w:val="bottom"/>
          </w:tcPr>
          <w:p w14:paraId="66AF02CD">
            <w:pPr>
              <w:pStyle w:val="40"/>
            </w:pPr>
            <w:r>
              <w:t>89.5</w:t>
            </w:r>
          </w:p>
        </w:tc>
        <w:tc>
          <w:tcPr>
            <w:tcW w:w="1280" w:type="dxa"/>
            <w:tcBorders>
              <w:top w:val="nil"/>
              <w:left w:val="nil"/>
              <w:bottom w:val="single" w:color="auto" w:sz="4" w:space="0"/>
              <w:right w:val="single" w:color="auto" w:sz="4" w:space="0"/>
            </w:tcBorders>
            <w:shd w:val="clear" w:color="auto" w:fill="auto"/>
            <w:noWrap/>
            <w:vAlign w:val="bottom"/>
          </w:tcPr>
          <w:p w14:paraId="1B4AE805">
            <w:pPr>
              <w:pStyle w:val="40"/>
            </w:pPr>
            <w:r>
              <w:t>69</w:t>
            </w:r>
          </w:p>
        </w:tc>
        <w:tc>
          <w:tcPr>
            <w:tcW w:w="1280" w:type="dxa"/>
            <w:tcBorders>
              <w:top w:val="nil"/>
              <w:left w:val="nil"/>
              <w:bottom w:val="single" w:color="auto" w:sz="4" w:space="0"/>
              <w:right w:val="single" w:color="auto" w:sz="4" w:space="0"/>
            </w:tcBorders>
            <w:shd w:val="clear" w:color="auto" w:fill="auto"/>
            <w:noWrap/>
            <w:vAlign w:val="bottom"/>
          </w:tcPr>
          <w:p w14:paraId="238D7755">
            <w:pPr>
              <w:pStyle w:val="40"/>
            </w:pPr>
            <w:r>
              <w:t>738.58</w:t>
            </w:r>
          </w:p>
        </w:tc>
      </w:tr>
      <w:tr w14:paraId="2ADB86DA">
        <w:tblPrEx>
          <w:tblCellMar>
            <w:top w:w="0" w:type="dxa"/>
            <w:left w:w="108" w:type="dxa"/>
            <w:bottom w:w="0" w:type="dxa"/>
            <w:right w:w="108" w:type="dxa"/>
          </w:tblCellMar>
        </w:tblPrEx>
        <w:trPr>
          <w:trHeight w:val="37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09229895">
            <w:pPr>
              <w:pStyle w:val="40"/>
            </w:pPr>
            <w:r>
              <w:rPr>
                <w:rFonts w:hint="eastAsia"/>
              </w:rPr>
              <w:t>沈北新区</w:t>
            </w:r>
          </w:p>
        </w:tc>
        <w:tc>
          <w:tcPr>
            <w:tcW w:w="1280" w:type="dxa"/>
            <w:tcBorders>
              <w:top w:val="nil"/>
              <w:left w:val="nil"/>
              <w:bottom w:val="single" w:color="auto" w:sz="4" w:space="0"/>
              <w:right w:val="single" w:color="auto" w:sz="4" w:space="0"/>
            </w:tcBorders>
            <w:shd w:val="clear" w:color="auto" w:fill="auto"/>
            <w:noWrap/>
            <w:vAlign w:val="bottom"/>
          </w:tcPr>
          <w:p w14:paraId="078A0BD2">
            <w:pPr>
              <w:pStyle w:val="40"/>
            </w:pPr>
            <w:r>
              <w:t>89</w:t>
            </w:r>
          </w:p>
        </w:tc>
        <w:tc>
          <w:tcPr>
            <w:tcW w:w="1280" w:type="dxa"/>
            <w:tcBorders>
              <w:top w:val="nil"/>
              <w:left w:val="nil"/>
              <w:bottom w:val="single" w:color="auto" w:sz="4" w:space="0"/>
              <w:right w:val="single" w:color="auto" w:sz="4" w:space="0"/>
            </w:tcBorders>
            <w:shd w:val="clear" w:color="auto" w:fill="auto"/>
            <w:noWrap/>
            <w:vAlign w:val="bottom"/>
          </w:tcPr>
          <w:p w14:paraId="6CE81F89">
            <w:pPr>
              <w:pStyle w:val="40"/>
            </w:pPr>
            <w:r>
              <w:t>724</w:t>
            </w:r>
          </w:p>
        </w:tc>
        <w:tc>
          <w:tcPr>
            <w:tcW w:w="1280" w:type="dxa"/>
            <w:tcBorders>
              <w:top w:val="nil"/>
              <w:left w:val="nil"/>
              <w:bottom w:val="single" w:color="auto" w:sz="4" w:space="0"/>
              <w:right w:val="single" w:color="auto" w:sz="4" w:space="0"/>
            </w:tcBorders>
            <w:shd w:val="clear" w:color="auto" w:fill="auto"/>
            <w:noWrap/>
            <w:vAlign w:val="bottom"/>
          </w:tcPr>
          <w:p w14:paraId="085B801D">
            <w:pPr>
              <w:pStyle w:val="40"/>
            </w:pPr>
            <w:r>
              <w:t>24</w:t>
            </w:r>
          </w:p>
        </w:tc>
        <w:tc>
          <w:tcPr>
            <w:tcW w:w="1280" w:type="dxa"/>
            <w:tcBorders>
              <w:top w:val="nil"/>
              <w:left w:val="nil"/>
              <w:bottom w:val="single" w:color="auto" w:sz="4" w:space="0"/>
              <w:right w:val="single" w:color="auto" w:sz="4" w:space="0"/>
            </w:tcBorders>
            <w:shd w:val="clear" w:color="auto" w:fill="auto"/>
            <w:noWrap/>
            <w:vAlign w:val="bottom"/>
          </w:tcPr>
          <w:p w14:paraId="00B240F6">
            <w:pPr>
              <w:pStyle w:val="40"/>
            </w:pPr>
            <w:r>
              <w:t>48</w:t>
            </w:r>
          </w:p>
        </w:tc>
        <w:tc>
          <w:tcPr>
            <w:tcW w:w="1280" w:type="dxa"/>
            <w:tcBorders>
              <w:top w:val="nil"/>
              <w:left w:val="nil"/>
              <w:bottom w:val="single" w:color="auto" w:sz="4" w:space="0"/>
              <w:right w:val="single" w:color="auto" w:sz="4" w:space="0"/>
            </w:tcBorders>
            <w:shd w:val="clear" w:color="auto" w:fill="auto"/>
            <w:noWrap/>
            <w:vAlign w:val="bottom"/>
          </w:tcPr>
          <w:p w14:paraId="2DE688D4">
            <w:pPr>
              <w:pStyle w:val="40"/>
            </w:pPr>
            <w:r>
              <w:t>113</w:t>
            </w:r>
          </w:p>
        </w:tc>
        <w:tc>
          <w:tcPr>
            <w:tcW w:w="1280" w:type="dxa"/>
            <w:tcBorders>
              <w:top w:val="nil"/>
              <w:left w:val="nil"/>
              <w:bottom w:val="single" w:color="auto" w:sz="4" w:space="0"/>
              <w:right w:val="single" w:color="auto" w:sz="4" w:space="0"/>
            </w:tcBorders>
            <w:shd w:val="clear" w:color="auto" w:fill="auto"/>
            <w:noWrap/>
            <w:vAlign w:val="bottom"/>
          </w:tcPr>
          <w:p w14:paraId="6608B612">
            <w:pPr>
              <w:pStyle w:val="40"/>
            </w:pPr>
            <w:r>
              <w:t>772</w:t>
            </w:r>
          </w:p>
        </w:tc>
      </w:tr>
      <w:tr w14:paraId="4AD2AD59">
        <w:tblPrEx>
          <w:tblCellMar>
            <w:top w:w="0" w:type="dxa"/>
            <w:left w:w="108" w:type="dxa"/>
            <w:bottom w:w="0" w:type="dxa"/>
            <w:right w:w="108" w:type="dxa"/>
          </w:tblCellMar>
        </w:tblPrEx>
        <w:trPr>
          <w:trHeight w:val="37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22FD3864">
            <w:pPr>
              <w:pStyle w:val="40"/>
            </w:pPr>
            <w:r>
              <w:rPr>
                <w:rFonts w:hint="eastAsia"/>
              </w:rPr>
              <w:t>苏家屯区</w:t>
            </w:r>
          </w:p>
        </w:tc>
        <w:tc>
          <w:tcPr>
            <w:tcW w:w="1280" w:type="dxa"/>
            <w:tcBorders>
              <w:top w:val="nil"/>
              <w:left w:val="nil"/>
              <w:bottom w:val="single" w:color="auto" w:sz="4" w:space="0"/>
              <w:right w:val="single" w:color="auto" w:sz="4" w:space="0"/>
            </w:tcBorders>
            <w:shd w:val="clear" w:color="auto" w:fill="auto"/>
            <w:noWrap/>
            <w:vAlign w:val="bottom"/>
          </w:tcPr>
          <w:p w14:paraId="2239705C">
            <w:pPr>
              <w:pStyle w:val="40"/>
            </w:pPr>
            <w:r>
              <w:t>1091</w:t>
            </w:r>
          </w:p>
        </w:tc>
        <w:tc>
          <w:tcPr>
            <w:tcW w:w="1280" w:type="dxa"/>
            <w:tcBorders>
              <w:top w:val="nil"/>
              <w:left w:val="nil"/>
              <w:bottom w:val="single" w:color="auto" w:sz="4" w:space="0"/>
              <w:right w:val="single" w:color="auto" w:sz="4" w:space="0"/>
            </w:tcBorders>
            <w:shd w:val="clear" w:color="auto" w:fill="auto"/>
            <w:noWrap/>
            <w:vAlign w:val="bottom"/>
          </w:tcPr>
          <w:p w14:paraId="318752FE">
            <w:pPr>
              <w:pStyle w:val="40"/>
            </w:pPr>
            <w:r>
              <w:t>501.8</w:t>
            </w:r>
          </w:p>
        </w:tc>
        <w:tc>
          <w:tcPr>
            <w:tcW w:w="1280" w:type="dxa"/>
            <w:tcBorders>
              <w:top w:val="nil"/>
              <w:left w:val="nil"/>
              <w:bottom w:val="single" w:color="auto" w:sz="4" w:space="0"/>
              <w:right w:val="single" w:color="auto" w:sz="4" w:space="0"/>
            </w:tcBorders>
            <w:shd w:val="clear" w:color="auto" w:fill="auto"/>
            <w:noWrap/>
            <w:vAlign w:val="bottom"/>
          </w:tcPr>
          <w:p w14:paraId="50A138F2">
            <w:pPr>
              <w:pStyle w:val="40"/>
            </w:pPr>
            <w:r>
              <w:t>68</w:t>
            </w:r>
          </w:p>
        </w:tc>
        <w:tc>
          <w:tcPr>
            <w:tcW w:w="1280" w:type="dxa"/>
            <w:tcBorders>
              <w:top w:val="nil"/>
              <w:left w:val="nil"/>
              <w:bottom w:val="single" w:color="auto" w:sz="4" w:space="0"/>
              <w:right w:val="single" w:color="auto" w:sz="4" w:space="0"/>
            </w:tcBorders>
            <w:shd w:val="clear" w:color="auto" w:fill="auto"/>
            <w:noWrap/>
            <w:vAlign w:val="bottom"/>
          </w:tcPr>
          <w:p w14:paraId="5D83D952">
            <w:pPr>
              <w:pStyle w:val="40"/>
            </w:pPr>
            <w:r>
              <w:t>52.8</w:t>
            </w:r>
          </w:p>
        </w:tc>
        <w:tc>
          <w:tcPr>
            <w:tcW w:w="1280" w:type="dxa"/>
            <w:tcBorders>
              <w:top w:val="nil"/>
              <w:left w:val="nil"/>
              <w:bottom w:val="single" w:color="auto" w:sz="4" w:space="0"/>
              <w:right w:val="single" w:color="auto" w:sz="4" w:space="0"/>
            </w:tcBorders>
            <w:shd w:val="clear" w:color="auto" w:fill="auto"/>
            <w:noWrap/>
            <w:vAlign w:val="bottom"/>
          </w:tcPr>
          <w:p w14:paraId="5A81502F">
            <w:pPr>
              <w:pStyle w:val="40"/>
            </w:pPr>
            <w:r>
              <w:t>1159</w:t>
            </w:r>
          </w:p>
        </w:tc>
        <w:tc>
          <w:tcPr>
            <w:tcW w:w="1280" w:type="dxa"/>
            <w:tcBorders>
              <w:top w:val="nil"/>
              <w:left w:val="nil"/>
              <w:bottom w:val="single" w:color="auto" w:sz="4" w:space="0"/>
              <w:right w:val="single" w:color="auto" w:sz="4" w:space="0"/>
            </w:tcBorders>
            <w:shd w:val="clear" w:color="auto" w:fill="auto"/>
            <w:noWrap/>
            <w:vAlign w:val="bottom"/>
          </w:tcPr>
          <w:p w14:paraId="2FEF89C5">
            <w:pPr>
              <w:pStyle w:val="40"/>
            </w:pPr>
            <w:r>
              <w:t>554.6</w:t>
            </w:r>
          </w:p>
        </w:tc>
      </w:tr>
      <w:tr w14:paraId="79E804C3">
        <w:tblPrEx>
          <w:tblCellMar>
            <w:top w:w="0" w:type="dxa"/>
            <w:left w:w="108" w:type="dxa"/>
            <w:bottom w:w="0" w:type="dxa"/>
            <w:right w:w="108" w:type="dxa"/>
          </w:tblCellMar>
        </w:tblPrEx>
        <w:trPr>
          <w:trHeight w:val="37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3D3A5DDD">
            <w:pPr>
              <w:pStyle w:val="40"/>
            </w:pPr>
            <w:r>
              <w:rPr>
                <w:rFonts w:hint="eastAsia"/>
              </w:rPr>
              <w:t>康平县</w:t>
            </w:r>
          </w:p>
        </w:tc>
        <w:tc>
          <w:tcPr>
            <w:tcW w:w="1280" w:type="dxa"/>
            <w:tcBorders>
              <w:top w:val="nil"/>
              <w:left w:val="nil"/>
              <w:bottom w:val="single" w:color="auto" w:sz="4" w:space="0"/>
              <w:right w:val="single" w:color="auto" w:sz="4" w:space="0"/>
            </w:tcBorders>
            <w:shd w:val="clear" w:color="auto" w:fill="auto"/>
            <w:noWrap/>
            <w:vAlign w:val="bottom"/>
          </w:tcPr>
          <w:p w14:paraId="535EF570">
            <w:pPr>
              <w:pStyle w:val="40"/>
            </w:pPr>
            <w:r>
              <w:t>21</w:t>
            </w:r>
          </w:p>
        </w:tc>
        <w:tc>
          <w:tcPr>
            <w:tcW w:w="1280" w:type="dxa"/>
            <w:tcBorders>
              <w:top w:val="nil"/>
              <w:left w:val="nil"/>
              <w:bottom w:val="single" w:color="auto" w:sz="4" w:space="0"/>
              <w:right w:val="single" w:color="auto" w:sz="4" w:space="0"/>
            </w:tcBorders>
            <w:shd w:val="clear" w:color="auto" w:fill="auto"/>
            <w:noWrap/>
            <w:vAlign w:val="bottom"/>
          </w:tcPr>
          <w:p w14:paraId="384208F9">
            <w:pPr>
              <w:pStyle w:val="40"/>
            </w:pPr>
            <w:r>
              <w:t>83.4</w:t>
            </w:r>
          </w:p>
        </w:tc>
        <w:tc>
          <w:tcPr>
            <w:tcW w:w="1280" w:type="dxa"/>
            <w:tcBorders>
              <w:top w:val="nil"/>
              <w:left w:val="nil"/>
              <w:bottom w:val="single" w:color="auto" w:sz="4" w:space="0"/>
              <w:right w:val="single" w:color="auto" w:sz="4" w:space="0"/>
            </w:tcBorders>
            <w:shd w:val="clear" w:color="auto" w:fill="auto"/>
            <w:noWrap/>
            <w:vAlign w:val="bottom"/>
          </w:tcPr>
          <w:p w14:paraId="6BAEDFEC">
            <w:pPr>
              <w:pStyle w:val="40"/>
            </w:pPr>
            <w:r>
              <w:t>48</w:t>
            </w:r>
          </w:p>
        </w:tc>
        <w:tc>
          <w:tcPr>
            <w:tcW w:w="1280" w:type="dxa"/>
            <w:tcBorders>
              <w:top w:val="nil"/>
              <w:left w:val="nil"/>
              <w:bottom w:val="single" w:color="auto" w:sz="4" w:space="0"/>
              <w:right w:val="single" w:color="auto" w:sz="4" w:space="0"/>
            </w:tcBorders>
            <w:shd w:val="clear" w:color="auto" w:fill="auto"/>
            <w:noWrap/>
            <w:vAlign w:val="bottom"/>
          </w:tcPr>
          <w:p w14:paraId="1847F9CC">
            <w:pPr>
              <w:pStyle w:val="40"/>
            </w:pPr>
            <w:r>
              <w:t>34.1</w:t>
            </w:r>
          </w:p>
        </w:tc>
        <w:tc>
          <w:tcPr>
            <w:tcW w:w="1280" w:type="dxa"/>
            <w:tcBorders>
              <w:top w:val="nil"/>
              <w:left w:val="nil"/>
              <w:bottom w:val="single" w:color="auto" w:sz="4" w:space="0"/>
              <w:right w:val="single" w:color="auto" w:sz="4" w:space="0"/>
            </w:tcBorders>
            <w:shd w:val="clear" w:color="auto" w:fill="auto"/>
            <w:noWrap/>
            <w:vAlign w:val="bottom"/>
          </w:tcPr>
          <w:p w14:paraId="45DE5E4A">
            <w:pPr>
              <w:pStyle w:val="40"/>
            </w:pPr>
            <w:r>
              <w:t>69</w:t>
            </w:r>
          </w:p>
        </w:tc>
        <w:tc>
          <w:tcPr>
            <w:tcW w:w="1280" w:type="dxa"/>
            <w:tcBorders>
              <w:top w:val="nil"/>
              <w:left w:val="nil"/>
              <w:bottom w:val="single" w:color="auto" w:sz="4" w:space="0"/>
              <w:right w:val="single" w:color="auto" w:sz="4" w:space="0"/>
            </w:tcBorders>
            <w:shd w:val="clear" w:color="auto" w:fill="auto"/>
            <w:noWrap/>
            <w:vAlign w:val="bottom"/>
          </w:tcPr>
          <w:p w14:paraId="3CB41C42">
            <w:pPr>
              <w:pStyle w:val="40"/>
            </w:pPr>
            <w:r>
              <w:t>117.5</w:t>
            </w:r>
          </w:p>
        </w:tc>
      </w:tr>
      <w:tr w14:paraId="5A17528F">
        <w:tblPrEx>
          <w:tblCellMar>
            <w:top w:w="0" w:type="dxa"/>
            <w:left w:w="108" w:type="dxa"/>
            <w:bottom w:w="0" w:type="dxa"/>
            <w:right w:w="108" w:type="dxa"/>
          </w:tblCellMar>
        </w:tblPrEx>
        <w:trPr>
          <w:trHeight w:val="37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60E1F265">
            <w:pPr>
              <w:pStyle w:val="40"/>
            </w:pPr>
            <w:r>
              <w:rPr>
                <w:rFonts w:hint="eastAsia"/>
              </w:rPr>
              <w:t>法库县</w:t>
            </w:r>
          </w:p>
        </w:tc>
        <w:tc>
          <w:tcPr>
            <w:tcW w:w="1280" w:type="dxa"/>
            <w:tcBorders>
              <w:top w:val="nil"/>
              <w:left w:val="nil"/>
              <w:bottom w:val="single" w:color="auto" w:sz="4" w:space="0"/>
              <w:right w:val="single" w:color="auto" w:sz="4" w:space="0"/>
            </w:tcBorders>
            <w:shd w:val="clear" w:color="auto" w:fill="auto"/>
            <w:noWrap/>
            <w:vAlign w:val="bottom"/>
          </w:tcPr>
          <w:p w14:paraId="0AEA4C3F">
            <w:pPr>
              <w:pStyle w:val="40"/>
            </w:pPr>
            <w:r>
              <w:t>44</w:t>
            </w:r>
          </w:p>
        </w:tc>
        <w:tc>
          <w:tcPr>
            <w:tcW w:w="1280" w:type="dxa"/>
            <w:tcBorders>
              <w:top w:val="nil"/>
              <w:left w:val="nil"/>
              <w:bottom w:val="single" w:color="auto" w:sz="4" w:space="0"/>
              <w:right w:val="single" w:color="auto" w:sz="4" w:space="0"/>
            </w:tcBorders>
            <w:shd w:val="clear" w:color="auto" w:fill="auto"/>
            <w:noWrap/>
            <w:vAlign w:val="bottom"/>
          </w:tcPr>
          <w:p w14:paraId="56229731">
            <w:pPr>
              <w:pStyle w:val="40"/>
            </w:pPr>
            <w:r>
              <w:t>168.47</w:t>
            </w:r>
          </w:p>
        </w:tc>
        <w:tc>
          <w:tcPr>
            <w:tcW w:w="1280" w:type="dxa"/>
            <w:tcBorders>
              <w:top w:val="nil"/>
              <w:left w:val="nil"/>
              <w:bottom w:val="single" w:color="auto" w:sz="4" w:space="0"/>
              <w:right w:val="single" w:color="auto" w:sz="4" w:space="0"/>
            </w:tcBorders>
            <w:shd w:val="clear" w:color="auto" w:fill="auto"/>
            <w:noWrap/>
            <w:vAlign w:val="bottom"/>
          </w:tcPr>
          <w:p w14:paraId="258081A2">
            <w:pPr>
              <w:pStyle w:val="40"/>
            </w:pPr>
            <w:r>
              <w:t>68</w:t>
            </w:r>
          </w:p>
        </w:tc>
        <w:tc>
          <w:tcPr>
            <w:tcW w:w="1280" w:type="dxa"/>
            <w:tcBorders>
              <w:top w:val="nil"/>
              <w:left w:val="nil"/>
              <w:bottom w:val="single" w:color="auto" w:sz="4" w:space="0"/>
              <w:right w:val="single" w:color="auto" w:sz="4" w:space="0"/>
            </w:tcBorders>
            <w:shd w:val="clear" w:color="auto" w:fill="auto"/>
            <w:noWrap/>
            <w:vAlign w:val="bottom"/>
          </w:tcPr>
          <w:p w14:paraId="2D57F953">
            <w:pPr>
              <w:pStyle w:val="40"/>
            </w:pPr>
            <w:r>
              <w:t>74.027</w:t>
            </w:r>
          </w:p>
        </w:tc>
        <w:tc>
          <w:tcPr>
            <w:tcW w:w="1280" w:type="dxa"/>
            <w:tcBorders>
              <w:top w:val="nil"/>
              <w:left w:val="nil"/>
              <w:bottom w:val="single" w:color="auto" w:sz="4" w:space="0"/>
              <w:right w:val="single" w:color="auto" w:sz="4" w:space="0"/>
            </w:tcBorders>
            <w:shd w:val="clear" w:color="auto" w:fill="auto"/>
            <w:noWrap/>
            <w:vAlign w:val="bottom"/>
          </w:tcPr>
          <w:p w14:paraId="12494A63">
            <w:pPr>
              <w:pStyle w:val="40"/>
            </w:pPr>
            <w:r>
              <w:t>112</w:t>
            </w:r>
          </w:p>
        </w:tc>
        <w:tc>
          <w:tcPr>
            <w:tcW w:w="1280" w:type="dxa"/>
            <w:tcBorders>
              <w:top w:val="nil"/>
              <w:left w:val="nil"/>
              <w:bottom w:val="single" w:color="auto" w:sz="4" w:space="0"/>
              <w:right w:val="single" w:color="auto" w:sz="4" w:space="0"/>
            </w:tcBorders>
            <w:shd w:val="clear" w:color="auto" w:fill="auto"/>
            <w:noWrap/>
            <w:vAlign w:val="bottom"/>
          </w:tcPr>
          <w:p w14:paraId="55BF0B98">
            <w:pPr>
              <w:pStyle w:val="40"/>
            </w:pPr>
            <w:r>
              <w:t>242.497</w:t>
            </w:r>
          </w:p>
        </w:tc>
      </w:tr>
      <w:tr w14:paraId="2E5AB7D7">
        <w:tblPrEx>
          <w:tblCellMar>
            <w:top w:w="0" w:type="dxa"/>
            <w:left w:w="108" w:type="dxa"/>
            <w:bottom w:w="0" w:type="dxa"/>
            <w:right w:w="108" w:type="dxa"/>
          </w:tblCellMar>
        </w:tblPrEx>
        <w:trPr>
          <w:trHeight w:val="37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208330DE">
            <w:pPr>
              <w:pStyle w:val="40"/>
            </w:pPr>
            <w:r>
              <w:rPr>
                <w:rFonts w:hint="eastAsia"/>
              </w:rPr>
              <w:t>铁西区</w:t>
            </w:r>
          </w:p>
        </w:tc>
        <w:tc>
          <w:tcPr>
            <w:tcW w:w="1280" w:type="dxa"/>
            <w:tcBorders>
              <w:top w:val="nil"/>
              <w:left w:val="nil"/>
              <w:bottom w:val="single" w:color="auto" w:sz="4" w:space="0"/>
              <w:right w:val="single" w:color="auto" w:sz="4" w:space="0"/>
            </w:tcBorders>
            <w:shd w:val="clear" w:color="auto" w:fill="auto"/>
            <w:noWrap/>
            <w:vAlign w:val="bottom"/>
          </w:tcPr>
          <w:p w14:paraId="7D83DF58">
            <w:pPr>
              <w:pStyle w:val="40"/>
            </w:pPr>
            <w:r>
              <w:t>14</w:t>
            </w:r>
          </w:p>
        </w:tc>
        <w:tc>
          <w:tcPr>
            <w:tcW w:w="1280" w:type="dxa"/>
            <w:tcBorders>
              <w:top w:val="nil"/>
              <w:left w:val="nil"/>
              <w:bottom w:val="single" w:color="auto" w:sz="4" w:space="0"/>
              <w:right w:val="single" w:color="auto" w:sz="4" w:space="0"/>
            </w:tcBorders>
            <w:shd w:val="clear" w:color="auto" w:fill="auto"/>
            <w:noWrap/>
            <w:vAlign w:val="bottom"/>
          </w:tcPr>
          <w:p w14:paraId="6332A690">
            <w:pPr>
              <w:pStyle w:val="40"/>
            </w:pPr>
            <w:r>
              <w:t>190.219</w:t>
            </w:r>
          </w:p>
        </w:tc>
        <w:tc>
          <w:tcPr>
            <w:tcW w:w="1280" w:type="dxa"/>
            <w:tcBorders>
              <w:top w:val="nil"/>
              <w:left w:val="nil"/>
              <w:bottom w:val="single" w:color="auto" w:sz="4" w:space="0"/>
              <w:right w:val="single" w:color="auto" w:sz="4" w:space="0"/>
            </w:tcBorders>
            <w:shd w:val="clear" w:color="auto" w:fill="auto"/>
            <w:noWrap/>
            <w:vAlign w:val="bottom"/>
          </w:tcPr>
          <w:p w14:paraId="34553896">
            <w:pPr>
              <w:pStyle w:val="40"/>
            </w:pPr>
          </w:p>
        </w:tc>
        <w:tc>
          <w:tcPr>
            <w:tcW w:w="1280" w:type="dxa"/>
            <w:tcBorders>
              <w:top w:val="nil"/>
              <w:left w:val="nil"/>
              <w:bottom w:val="single" w:color="auto" w:sz="4" w:space="0"/>
              <w:right w:val="single" w:color="auto" w:sz="4" w:space="0"/>
            </w:tcBorders>
            <w:shd w:val="clear" w:color="auto" w:fill="auto"/>
            <w:noWrap/>
            <w:vAlign w:val="bottom"/>
          </w:tcPr>
          <w:p w14:paraId="1A8F6238">
            <w:pPr>
              <w:pStyle w:val="40"/>
            </w:pPr>
          </w:p>
        </w:tc>
        <w:tc>
          <w:tcPr>
            <w:tcW w:w="1280" w:type="dxa"/>
            <w:tcBorders>
              <w:top w:val="nil"/>
              <w:left w:val="nil"/>
              <w:bottom w:val="single" w:color="auto" w:sz="4" w:space="0"/>
              <w:right w:val="single" w:color="auto" w:sz="4" w:space="0"/>
            </w:tcBorders>
            <w:shd w:val="clear" w:color="auto" w:fill="auto"/>
            <w:noWrap/>
            <w:vAlign w:val="bottom"/>
          </w:tcPr>
          <w:p w14:paraId="32A4C415">
            <w:pPr>
              <w:pStyle w:val="40"/>
            </w:pPr>
            <w:r>
              <w:t>14</w:t>
            </w:r>
          </w:p>
        </w:tc>
        <w:tc>
          <w:tcPr>
            <w:tcW w:w="1280" w:type="dxa"/>
            <w:tcBorders>
              <w:top w:val="nil"/>
              <w:left w:val="nil"/>
              <w:bottom w:val="single" w:color="auto" w:sz="4" w:space="0"/>
              <w:right w:val="single" w:color="auto" w:sz="4" w:space="0"/>
            </w:tcBorders>
            <w:shd w:val="clear" w:color="auto" w:fill="auto"/>
            <w:noWrap/>
            <w:vAlign w:val="bottom"/>
          </w:tcPr>
          <w:p w14:paraId="0893F2CA">
            <w:pPr>
              <w:pStyle w:val="40"/>
            </w:pPr>
            <w:r>
              <w:t>190.219</w:t>
            </w:r>
          </w:p>
        </w:tc>
      </w:tr>
      <w:tr w14:paraId="09F24AEA">
        <w:tblPrEx>
          <w:tblCellMar>
            <w:top w:w="0" w:type="dxa"/>
            <w:left w:w="108" w:type="dxa"/>
            <w:bottom w:w="0" w:type="dxa"/>
            <w:right w:w="108" w:type="dxa"/>
          </w:tblCellMar>
        </w:tblPrEx>
        <w:trPr>
          <w:trHeight w:val="37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41CAA07D">
            <w:pPr>
              <w:pStyle w:val="40"/>
            </w:pPr>
            <w:r>
              <w:rPr>
                <w:rFonts w:hint="eastAsia"/>
              </w:rPr>
              <w:t>新民市</w:t>
            </w:r>
          </w:p>
        </w:tc>
        <w:tc>
          <w:tcPr>
            <w:tcW w:w="1280" w:type="dxa"/>
            <w:tcBorders>
              <w:top w:val="nil"/>
              <w:left w:val="nil"/>
              <w:bottom w:val="single" w:color="auto" w:sz="4" w:space="0"/>
              <w:right w:val="single" w:color="auto" w:sz="4" w:space="0"/>
            </w:tcBorders>
            <w:shd w:val="clear" w:color="auto" w:fill="auto"/>
            <w:noWrap/>
            <w:vAlign w:val="bottom"/>
          </w:tcPr>
          <w:p w14:paraId="5BC71BE5">
            <w:pPr>
              <w:pStyle w:val="40"/>
            </w:pPr>
          </w:p>
        </w:tc>
        <w:tc>
          <w:tcPr>
            <w:tcW w:w="1280" w:type="dxa"/>
            <w:tcBorders>
              <w:top w:val="nil"/>
              <w:left w:val="nil"/>
              <w:bottom w:val="single" w:color="auto" w:sz="4" w:space="0"/>
              <w:right w:val="single" w:color="auto" w:sz="4" w:space="0"/>
            </w:tcBorders>
            <w:shd w:val="clear" w:color="auto" w:fill="auto"/>
            <w:noWrap/>
            <w:vAlign w:val="bottom"/>
          </w:tcPr>
          <w:p w14:paraId="2D501AA1">
            <w:pPr>
              <w:pStyle w:val="40"/>
            </w:pPr>
            <w:r>
              <w:t>134</w:t>
            </w:r>
          </w:p>
        </w:tc>
        <w:tc>
          <w:tcPr>
            <w:tcW w:w="1280" w:type="dxa"/>
            <w:tcBorders>
              <w:top w:val="nil"/>
              <w:left w:val="nil"/>
              <w:bottom w:val="single" w:color="auto" w:sz="4" w:space="0"/>
              <w:right w:val="single" w:color="auto" w:sz="4" w:space="0"/>
            </w:tcBorders>
            <w:shd w:val="clear" w:color="auto" w:fill="auto"/>
            <w:noWrap/>
            <w:vAlign w:val="bottom"/>
          </w:tcPr>
          <w:p w14:paraId="5B166C99">
            <w:pPr>
              <w:pStyle w:val="40"/>
            </w:pPr>
          </w:p>
        </w:tc>
        <w:tc>
          <w:tcPr>
            <w:tcW w:w="1280" w:type="dxa"/>
            <w:tcBorders>
              <w:top w:val="nil"/>
              <w:left w:val="nil"/>
              <w:bottom w:val="single" w:color="auto" w:sz="4" w:space="0"/>
              <w:right w:val="single" w:color="auto" w:sz="4" w:space="0"/>
            </w:tcBorders>
            <w:shd w:val="clear" w:color="auto" w:fill="auto"/>
            <w:noWrap/>
            <w:vAlign w:val="bottom"/>
          </w:tcPr>
          <w:p w14:paraId="4B3D192B">
            <w:pPr>
              <w:pStyle w:val="40"/>
            </w:pPr>
          </w:p>
        </w:tc>
        <w:tc>
          <w:tcPr>
            <w:tcW w:w="1280" w:type="dxa"/>
            <w:tcBorders>
              <w:top w:val="nil"/>
              <w:left w:val="nil"/>
              <w:bottom w:val="single" w:color="auto" w:sz="4" w:space="0"/>
              <w:right w:val="single" w:color="auto" w:sz="4" w:space="0"/>
            </w:tcBorders>
            <w:shd w:val="clear" w:color="auto" w:fill="auto"/>
            <w:noWrap/>
            <w:vAlign w:val="bottom"/>
          </w:tcPr>
          <w:p w14:paraId="005847E3">
            <w:pPr>
              <w:pStyle w:val="40"/>
            </w:pPr>
            <w:r>
              <w:t>0</w:t>
            </w:r>
          </w:p>
        </w:tc>
        <w:tc>
          <w:tcPr>
            <w:tcW w:w="1280" w:type="dxa"/>
            <w:tcBorders>
              <w:top w:val="nil"/>
              <w:left w:val="nil"/>
              <w:bottom w:val="single" w:color="auto" w:sz="4" w:space="0"/>
              <w:right w:val="single" w:color="auto" w:sz="4" w:space="0"/>
            </w:tcBorders>
            <w:shd w:val="clear" w:color="auto" w:fill="auto"/>
            <w:noWrap/>
            <w:vAlign w:val="bottom"/>
          </w:tcPr>
          <w:p w14:paraId="6C88A327">
            <w:pPr>
              <w:pStyle w:val="40"/>
            </w:pPr>
            <w:r>
              <w:t>134</w:t>
            </w:r>
          </w:p>
        </w:tc>
      </w:tr>
      <w:tr w14:paraId="33A327CD">
        <w:tblPrEx>
          <w:tblCellMar>
            <w:top w:w="0" w:type="dxa"/>
            <w:left w:w="108" w:type="dxa"/>
            <w:bottom w:w="0" w:type="dxa"/>
            <w:right w:w="108" w:type="dxa"/>
          </w:tblCellMar>
        </w:tblPrEx>
        <w:trPr>
          <w:trHeight w:val="28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271BE84F">
            <w:pPr>
              <w:pStyle w:val="40"/>
            </w:pPr>
            <w:r>
              <w:rPr>
                <w:rFonts w:hint="eastAsia"/>
              </w:rPr>
              <w:t>皇姑区</w:t>
            </w:r>
          </w:p>
        </w:tc>
        <w:tc>
          <w:tcPr>
            <w:tcW w:w="1280" w:type="dxa"/>
            <w:tcBorders>
              <w:top w:val="nil"/>
              <w:left w:val="nil"/>
              <w:bottom w:val="single" w:color="auto" w:sz="4" w:space="0"/>
              <w:right w:val="single" w:color="auto" w:sz="4" w:space="0"/>
            </w:tcBorders>
            <w:shd w:val="clear" w:color="auto" w:fill="auto"/>
            <w:noWrap/>
            <w:vAlign w:val="bottom"/>
          </w:tcPr>
          <w:p w14:paraId="09368507">
            <w:pPr>
              <w:pStyle w:val="40"/>
            </w:pPr>
          </w:p>
        </w:tc>
        <w:tc>
          <w:tcPr>
            <w:tcW w:w="1280" w:type="dxa"/>
            <w:tcBorders>
              <w:top w:val="nil"/>
              <w:left w:val="nil"/>
              <w:bottom w:val="single" w:color="auto" w:sz="4" w:space="0"/>
              <w:right w:val="single" w:color="auto" w:sz="4" w:space="0"/>
            </w:tcBorders>
            <w:shd w:val="clear" w:color="auto" w:fill="auto"/>
            <w:noWrap/>
            <w:vAlign w:val="bottom"/>
          </w:tcPr>
          <w:p w14:paraId="3AFA9500">
            <w:pPr>
              <w:pStyle w:val="40"/>
            </w:pPr>
          </w:p>
        </w:tc>
        <w:tc>
          <w:tcPr>
            <w:tcW w:w="1280" w:type="dxa"/>
            <w:tcBorders>
              <w:top w:val="nil"/>
              <w:left w:val="nil"/>
              <w:bottom w:val="single" w:color="auto" w:sz="4" w:space="0"/>
              <w:right w:val="single" w:color="auto" w:sz="4" w:space="0"/>
            </w:tcBorders>
            <w:shd w:val="clear" w:color="auto" w:fill="auto"/>
            <w:noWrap/>
            <w:vAlign w:val="bottom"/>
          </w:tcPr>
          <w:p w14:paraId="4FC218E0">
            <w:pPr>
              <w:pStyle w:val="40"/>
            </w:pPr>
          </w:p>
        </w:tc>
        <w:tc>
          <w:tcPr>
            <w:tcW w:w="1280" w:type="dxa"/>
            <w:tcBorders>
              <w:top w:val="nil"/>
              <w:left w:val="nil"/>
              <w:bottom w:val="single" w:color="auto" w:sz="4" w:space="0"/>
              <w:right w:val="single" w:color="auto" w:sz="4" w:space="0"/>
            </w:tcBorders>
            <w:shd w:val="clear" w:color="auto" w:fill="auto"/>
            <w:noWrap/>
            <w:vAlign w:val="bottom"/>
          </w:tcPr>
          <w:p w14:paraId="675A1547">
            <w:pPr>
              <w:pStyle w:val="40"/>
            </w:pPr>
          </w:p>
        </w:tc>
        <w:tc>
          <w:tcPr>
            <w:tcW w:w="1280" w:type="dxa"/>
            <w:tcBorders>
              <w:top w:val="nil"/>
              <w:left w:val="nil"/>
              <w:bottom w:val="single" w:color="auto" w:sz="4" w:space="0"/>
              <w:right w:val="single" w:color="auto" w:sz="4" w:space="0"/>
            </w:tcBorders>
            <w:shd w:val="clear" w:color="auto" w:fill="auto"/>
            <w:noWrap/>
            <w:vAlign w:val="bottom"/>
          </w:tcPr>
          <w:p w14:paraId="1C0513FC">
            <w:pPr>
              <w:pStyle w:val="40"/>
            </w:pPr>
          </w:p>
        </w:tc>
        <w:tc>
          <w:tcPr>
            <w:tcW w:w="1280" w:type="dxa"/>
            <w:tcBorders>
              <w:top w:val="nil"/>
              <w:left w:val="nil"/>
              <w:bottom w:val="single" w:color="auto" w:sz="4" w:space="0"/>
              <w:right w:val="single" w:color="auto" w:sz="4" w:space="0"/>
            </w:tcBorders>
            <w:shd w:val="clear" w:color="auto" w:fill="auto"/>
            <w:noWrap/>
            <w:vAlign w:val="bottom"/>
          </w:tcPr>
          <w:p w14:paraId="1F9ABA5E">
            <w:pPr>
              <w:pStyle w:val="40"/>
            </w:pPr>
          </w:p>
        </w:tc>
      </w:tr>
      <w:tr w14:paraId="28D9780D">
        <w:tblPrEx>
          <w:tblCellMar>
            <w:top w:w="0" w:type="dxa"/>
            <w:left w:w="108" w:type="dxa"/>
            <w:bottom w:w="0" w:type="dxa"/>
            <w:right w:w="108" w:type="dxa"/>
          </w:tblCellMar>
        </w:tblPrEx>
        <w:trPr>
          <w:trHeight w:val="285" w:hRule="atLeast"/>
          <w:jc w:val="center"/>
        </w:trPr>
        <w:tc>
          <w:tcPr>
            <w:tcW w:w="1280" w:type="dxa"/>
            <w:tcBorders>
              <w:top w:val="nil"/>
              <w:left w:val="single" w:color="auto" w:sz="4" w:space="0"/>
              <w:bottom w:val="single" w:color="auto" w:sz="4" w:space="0"/>
              <w:right w:val="single" w:color="auto" w:sz="4" w:space="0"/>
            </w:tcBorders>
            <w:shd w:val="clear" w:color="auto" w:fill="auto"/>
            <w:vAlign w:val="center"/>
          </w:tcPr>
          <w:p w14:paraId="7613D184">
            <w:pPr>
              <w:pStyle w:val="40"/>
            </w:pPr>
            <w:r>
              <w:rPr>
                <w:rFonts w:hint="eastAsia"/>
              </w:rPr>
              <w:t>辽中区</w:t>
            </w:r>
          </w:p>
        </w:tc>
        <w:tc>
          <w:tcPr>
            <w:tcW w:w="1280" w:type="dxa"/>
            <w:tcBorders>
              <w:top w:val="nil"/>
              <w:left w:val="nil"/>
              <w:bottom w:val="single" w:color="auto" w:sz="4" w:space="0"/>
              <w:right w:val="single" w:color="auto" w:sz="4" w:space="0"/>
            </w:tcBorders>
            <w:shd w:val="clear" w:color="auto" w:fill="auto"/>
            <w:noWrap/>
            <w:vAlign w:val="bottom"/>
          </w:tcPr>
          <w:p w14:paraId="534ED885">
            <w:pPr>
              <w:pStyle w:val="40"/>
            </w:pPr>
          </w:p>
        </w:tc>
        <w:tc>
          <w:tcPr>
            <w:tcW w:w="1280" w:type="dxa"/>
            <w:tcBorders>
              <w:top w:val="nil"/>
              <w:left w:val="nil"/>
              <w:bottom w:val="single" w:color="auto" w:sz="4" w:space="0"/>
              <w:right w:val="single" w:color="auto" w:sz="4" w:space="0"/>
            </w:tcBorders>
            <w:shd w:val="clear" w:color="auto" w:fill="auto"/>
            <w:noWrap/>
            <w:vAlign w:val="bottom"/>
          </w:tcPr>
          <w:p w14:paraId="77A421E2">
            <w:pPr>
              <w:pStyle w:val="40"/>
            </w:pPr>
          </w:p>
        </w:tc>
        <w:tc>
          <w:tcPr>
            <w:tcW w:w="1280" w:type="dxa"/>
            <w:tcBorders>
              <w:top w:val="nil"/>
              <w:left w:val="nil"/>
              <w:bottom w:val="single" w:color="auto" w:sz="4" w:space="0"/>
              <w:right w:val="single" w:color="auto" w:sz="4" w:space="0"/>
            </w:tcBorders>
            <w:shd w:val="clear" w:color="auto" w:fill="auto"/>
            <w:noWrap/>
            <w:vAlign w:val="bottom"/>
          </w:tcPr>
          <w:p w14:paraId="41768D3B">
            <w:pPr>
              <w:pStyle w:val="40"/>
            </w:pPr>
          </w:p>
        </w:tc>
        <w:tc>
          <w:tcPr>
            <w:tcW w:w="1280" w:type="dxa"/>
            <w:tcBorders>
              <w:top w:val="nil"/>
              <w:left w:val="nil"/>
              <w:bottom w:val="single" w:color="auto" w:sz="4" w:space="0"/>
              <w:right w:val="single" w:color="auto" w:sz="4" w:space="0"/>
            </w:tcBorders>
            <w:shd w:val="clear" w:color="auto" w:fill="auto"/>
            <w:noWrap/>
            <w:vAlign w:val="bottom"/>
          </w:tcPr>
          <w:p w14:paraId="2CCE703E">
            <w:pPr>
              <w:pStyle w:val="40"/>
            </w:pPr>
          </w:p>
        </w:tc>
        <w:tc>
          <w:tcPr>
            <w:tcW w:w="1280" w:type="dxa"/>
            <w:tcBorders>
              <w:top w:val="nil"/>
              <w:left w:val="nil"/>
              <w:bottom w:val="single" w:color="auto" w:sz="4" w:space="0"/>
              <w:right w:val="single" w:color="auto" w:sz="4" w:space="0"/>
            </w:tcBorders>
            <w:shd w:val="clear" w:color="auto" w:fill="auto"/>
            <w:noWrap/>
            <w:vAlign w:val="bottom"/>
          </w:tcPr>
          <w:p w14:paraId="3C89E9A4">
            <w:pPr>
              <w:pStyle w:val="40"/>
            </w:pPr>
          </w:p>
        </w:tc>
        <w:tc>
          <w:tcPr>
            <w:tcW w:w="1280" w:type="dxa"/>
            <w:tcBorders>
              <w:top w:val="nil"/>
              <w:left w:val="nil"/>
              <w:bottom w:val="single" w:color="auto" w:sz="4" w:space="0"/>
              <w:right w:val="single" w:color="auto" w:sz="4" w:space="0"/>
            </w:tcBorders>
            <w:shd w:val="clear" w:color="auto" w:fill="auto"/>
            <w:noWrap/>
            <w:vAlign w:val="bottom"/>
          </w:tcPr>
          <w:p w14:paraId="2293256F">
            <w:pPr>
              <w:pStyle w:val="40"/>
            </w:pPr>
          </w:p>
        </w:tc>
      </w:tr>
    </w:tbl>
    <w:p w14:paraId="0BFAC819">
      <w:pPr>
        <w:spacing w:before="156" w:beforeLines="50" w:line="360" w:lineRule="auto"/>
        <w:rPr>
          <w:rFonts w:eastAsia="PMingLiU"/>
          <w:lang w:val="zh-TW" w:eastAsia="zh-TW" w:bidi="zh-TW"/>
        </w:rPr>
      </w:pPr>
      <w:r>
        <w:rPr>
          <w:rFonts w:hint="eastAsia"/>
        </w:rPr>
        <w:t>目前收集到和平区</w:t>
      </w:r>
      <w:r>
        <w:rPr>
          <w:rFonts w:hint="eastAsia"/>
          <w:lang w:val="zh-TW" w:eastAsia="zh-TW" w:bidi="zh-TW"/>
        </w:rPr>
        <w:t>、大东区和于洪区等三个区（县）的民用建筑在设计阶段和施工阶段的节能执行率（见表</w:t>
      </w:r>
      <w:r>
        <w:rPr>
          <w:rFonts w:hint="eastAsia"/>
          <w:lang w:val="zh-TW" w:bidi="zh-TW"/>
        </w:rPr>
        <w:t>3-</w:t>
      </w:r>
      <w:r>
        <w:rPr>
          <w:rFonts w:eastAsia="PMingLiU"/>
          <w:lang w:val="zh-TW" w:eastAsia="zh-TW" w:bidi="zh-TW"/>
        </w:rPr>
        <w:t>7</w:t>
      </w:r>
      <w:r>
        <w:rPr>
          <w:rFonts w:hint="eastAsia"/>
          <w:lang w:val="zh-TW" w:eastAsia="zh-TW" w:bidi="zh-TW"/>
        </w:rPr>
        <w:t>），虽然统计时间和数据不完整，但根据当前各区县反映的情况，可得知沈阳市民用建筑的节能执行率普遍较高。</w:t>
      </w:r>
    </w:p>
    <w:p w14:paraId="527F6DB3">
      <w:r>
        <w:t>表3-</w:t>
      </w:r>
      <w:r>
        <w:fldChar w:fldCharType="begin"/>
      </w:r>
      <w:r>
        <w:instrText xml:space="preserve"> SEQ 表3- \* ARABIC </w:instrText>
      </w:r>
      <w:r>
        <w:fldChar w:fldCharType="separate"/>
      </w:r>
      <w:r>
        <w:t>7</w:t>
      </w:r>
      <w:r>
        <w:fldChar w:fldCharType="end"/>
      </w:r>
      <w:r>
        <w:t xml:space="preserve"> 2015-2019</w:t>
      </w:r>
      <w:r>
        <w:rPr>
          <w:rFonts w:hint="eastAsia"/>
        </w:rPr>
        <w:t>年沈阳市各区县民用建筑节能执行情况</w:t>
      </w:r>
    </w:p>
    <w:tbl>
      <w:tblPr>
        <w:tblStyle w:val="20"/>
        <w:tblW w:w="7419" w:type="dxa"/>
        <w:jc w:val="center"/>
        <w:tblLayout w:type="autofit"/>
        <w:tblCellMar>
          <w:top w:w="0" w:type="dxa"/>
          <w:left w:w="108" w:type="dxa"/>
          <w:bottom w:w="0" w:type="dxa"/>
          <w:right w:w="108" w:type="dxa"/>
        </w:tblCellMar>
      </w:tblPr>
      <w:tblGrid>
        <w:gridCol w:w="1539"/>
        <w:gridCol w:w="1960"/>
        <w:gridCol w:w="1960"/>
        <w:gridCol w:w="1960"/>
      </w:tblGrid>
      <w:tr w14:paraId="2528E938">
        <w:tblPrEx>
          <w:tblCellMar>
            <w:top w:w="0" w:type="dxa"/>
            <w:left w:w="108" w:type="dxa"/>
            <w:bottom w:w="0" w:type="dxa"/>
            <w:right w:w="108" w:type="dxa"/>
          </w:tblCellMar>
        </w:tblPrEx>
        <w:trPr>
          <w:trHeight w:val="345" w:hRule="atLeast"/>
          <w:jc w:val="center"/>
        </w:trPr>
        <w:tc>
          <w:tcPr>
            <w:tcW w:w="153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AC2D7C4">
            <w:pPr>
              <w:pStyle w:val="40"/>
            </w:pPr>
            <w:r>
              <w:rPr>
                <w:rFonts w:hint="eastAsia"/>
              </w:rPr>
              <w:t>区划</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E8BE4E9">
            <w:pPr>
              <w:pStyle w:val="40"/>
            </w:pPr>
            <w:r>
              <w:rPr>
                <w:rFonts w:hint="eastAsia"/>
              </w:rPr>
              <w:t>时间</w:t>
            </w:r>
          </w:p>
        </w:tc>
        <w:tc>
          <w:tcPr>
            <w:tcW w:w="3920" w:type="dxa"/>
            <w:gridSpan w:val="2"/>
            <w:tcBorders>
              <w:top w:val="single" w:color="auto" w:sz="4" w:space="0"/>
              <w:left w:val="nil"/>
              <w:bottom w:val="single" w:color="auto" w:sz="4" w:space="0"/>
              <w:right w:val="single" w:color="000000" w:sz="4" w:space="0"/>
            </w:tcBorders>
            <w:shd w:val="clear" w:color="auto" w:fill="auto"/>
            <w:vAlign w:val="center"/>
          </w:tcPr>
          <w:p w14:paraId="025F0BDC">
            <w:pPr>
              <w:pStyle w:val="40"/>
            </w:pPr>
            <w:r>
              <w:rPr>
                <w:rFonts w:hint="eastAsia"/>
              </w:rPr>
              <w:t>民用建筑节能执行率</w:t>
            </w:r>
          </w:p>
        </w:tc>
      </w:tr>
      <w:tr w14:paraId="111F3387">
        <w:tblPrEx>
          <w:tblCellMar>
            <w:top w:w="0" w:type="dxa"/>
            <w:left w:w="108" w:type="dxa"/>
            <w:bottom w:w="0" w:type="dxa"/>
            <w:right w:w="108" w:type="dxa"/>
          </w:tblCellMar>
        </w:tblPrEx>
        <w:trPr>
          <w:trHeight w:val="345" w:hRule="atLeast"/>
          <w:jc w:val="center"/>
        </w:trPr>
        <w:tc>
          <w:tcPr>
            <w:tcW w:w="1539" w:type="dxa"/>
            <w:vMerge w:val="continue"/>
            <w:tcBorders>
              <w:top w:val="single" w:color="auto" w:sz="4" w:space="0"/>
              <w:left w:val="single" w:color="auto" w:sz="4" w:space="0"/>
              <w:bottom w:val="single" w:color="000000" w:sz="4" w:space="0"/>
              <w:right w:val="single" w:color="auto" w:sz="4" w:space="0"/>
            </w:tcBorders>
            <w:vAlign w:val="center"/>
          </w:tcPr>
          <w:p w14:paraId="50BA7009">
            <w:pPr>
              <w:pStyle w:val="40"/>
            </w:pP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14:paraId="6D981CA4">
            <w:pPr>
              <w:pStyle w:val="40"/>
            </w:pPr>
          </w:p>
        </w:tc>
        <w:tc>
          <w:tcPr>
            <w:tcW w:w="1960" w:type="dxa"/>
            <w:tcBorders>
              <w:top w:val="nil"/>
              <w:left w:val="nil"/>
              <w:bottom w:val="single" w:color="auto" w:sz="4" w:space="0"/>
              <w:right w:val="single" w:color="auto" w:sz="4" w:space="0"/>
            </w:tcBorders>
            <w:shd w:val="clear" w:color="auto" w:fill="auto"/>
            <w:vAlign w:val="center"/>
          </w:tcPr>
          <w:p w14:paraId="297CDCA4">
            <w:pPr>
              <w:pStyle w:val="40"/>
            </w:pPr>
            <w:r>
              <w:rPr>
                <w:rFonts w:hint="eastAsia"/>
              </w:rPr>
              <w:t>设计阶段</w:t>
            </w:r>
          </w:p>
        </w:tc>
        <w:tc>
          <w:tcPr>
            <w:tcW w:w="1960" w:type="dxa"/>
            <w:tcBorders>
              <w:top w:val="nil"/>
              <w:left w:val="nil"/>
              <w:bottom w:val="single" w:color="auto" w:sz="4" w:space="0"/>
              <w:right w:val="single" w:color="auto" w:sz="4" w:space="0"/>
            </w:tcBorders>
            <w:shd w:val="clear" w:color="auto" w:fill="auto"/>
            <w:vAlign w:val="center"/>
          </w:tcPr>
          <w:p w14:paraId="22B92987">
            <w:pPr>
              <w:pStyle w:val="40"/>
            </w:pPr>
            <w:r>
              <w:rPr>
                <w:rFonts w:hint="eastAsia"/>
              </w:rPr>
              <w:t>施工阶段</w:t>
            </w:r>
          </w:p>
        </w:tc>
      </w:tr>
      <w:tr w14:paraId="764FD1AD">
        <w:tblPrEx>
          <w:tblCellMar>
            <w:top w:w="0" w:type="dxa"/>
            <w:left w:w="108" w:type="dxa"/>
            <w:bottom w:w="0" w:type="dxa"/>
            <w:right w:w="108" w:type="dxa"/>
          </w:tblCellMar>
        </w:tblPrEx>
        <w:trPr>
          <w:trHeight w:val="345" w:hRule="atLeast"/>
          <w:jc w:val="center"/>
        </w:trPr>
        <w:tc>
          <w:tcPr>
            <w:tcW w:w="1539" w:type="dxa"/>
            <w:vMerge w:val="restart"/>
            <w:tcBorders>
              <w:top w:val="nil"/>
              <w:left w:val="single" w:color="auto" w:sz="4" w:space="0"/>
              <w:bottom w:val="single" w:color="000000" w:sz="4" w:space="0"/>
              <w:right w:val="single" w:color="auto" w:sz="4" w:space="0"/>
            </w:tcBorders>
            <w:shd w:val="clear" w:color="auto" w:fill="auto"/>
            <w:vAlign w:val="center"/>
          </w:tcPr>
          <w:p w14:paraId="37386CF2">
            <w:pPr>
              <w:pStyle w:val="40"/>
            </w:pPr>
            <w:r>
              <w:rPr>
                <w:rFonts w:hint="eastAsia"/>
              </w:rPr>
              <w:t>和平区</w:t>
            </w:r>
          </w:p>
        </w:tc>
        <w:tc>
          <w:tcPr>
            <w:tcW w:w="1960" w:type="dxa"/>
            <w:tcBorders>
              <w:top w:val="nil"/>
              <w:left w:val="nil"/>
              <w:bottom w:val="single" w:color="auto" w:sz="4" w:space="0"/>
              <w:right w:val="single" w:color="auto" w:sz="4" w:space="0"/>
            </w:tcBorders>
            <w:shd w:val="clear" w:color="auto" w:fill="auto"/>
            <w:vAlign w:val="center"/>
          </w:tcPr>
          <w:p w14:paraId="26A37150">
            <w:pPr>
              <w:pStyle w:val="40"/>
            </w:pPr>
            <w:r>
              <w:t>2015</w:t>
            </w:r>
            <w:r>
              <w:rPr>
                <w:rFonts w:hint="eastAsia"/>
              </w:rPr>
              <w:t>年</w:t>
            </w:r>
          </w:p>
        </w:tc>
        <w:tc>
          <w:tcPr>
            <w:tcW w:w="1960" w:type="dxa"/>
            <w:tcBorders>
              <w:top w:val="nil"/>
              <w:left w:val="nil"/>
              <w:bottom w:val="single" w:color="auto" w:sz="4" w:space="0"/>
              <w:right w:val="single" w:color="auto" w:sz="4" w:space="0"/>
            </w:tcBorders>
            <w:shd w:val="clear" w:color="auto" w:fill="auto"/>
            <w:vAlign w:val="center"/>
          </w:tcPr>
          <w:p w14:paraId="04BE455C">
            <w:pPr>
              <w:pStyle w:val="40"/>
            </w:pPr>
            <w:r>
              <w:t>100%</w:t>
            </w:r>
          </w:p>
        </w:tc>
        <w:tc>
          <w:tcPr>
            <w:tcW w:w="1960" w:type="dxa"/>
            <w:tcBorders>
              <w:top w:val="nil"/>
              <w:left w:val="nil"/>
              <w:bottom w:val="single" w:color="auto" w:sz="4" w:space="0"/>
              <w:right w:val="single" w:color="auto" w:sz="4" w:space="0"/>
            </w:tcBorders>
            <w:shd w:val="clear" w:color="auto" w:fill="auto"/>
            <w:vAlign w:val="center"/>
          </w:tcPr>
          <w:p w14:paraId="4E33C7E5">
            <w:pPr>
              <w:pStyle w:val="40"/>
            </w:pPr>
            <w:r>
              <w:t>99%</w:t>
            </w:r>
          </w:p>
        </w:tc>
      </w:tr>
      <w:tr w14:paraId="54AD87C1">
        <w:tblPrEx>
          <w:tblCellMar>
            <w:top w:w="0" w:type="dxa"/>
            <w:left w:w="108" w:type="dxa"/>
            <w:bottom w:w="0" w:type="dxa"/>
            <w:right w:w="108" w:type="dxa"/>
          </w:tblCellMar>
        </w:tblPrEx>
        <w:trPr>
          <w:trHeight w:val="345" w:hRule="atLeast"/>
          <w:jc w:val="center"/>
        </w:trPr>
        <w:tc>
          <w:tcPr>
            <w:tcW w:w="1539" w:type="dxa"/>
            <w:vMerge w:val="continue"/>
            <w:tcBorders>
              <w:top w:val="nil"/>
              <w:left w:val="single" w:color="auto" w:sz="4" w:space="0"/>
              <w:bottom w:val="single" w:color="000000" w:sz="4" w:space="0"/>
              <w:right w:val="single" w:color="auto" w:sz="4" w:space="0"/>
            </w:tcBorders>
            <w:vAlign w:val="center"/>
          </w:tcPr>
          <w:p w14:paraId="11DB5072">
            <w:pPr>
              <w:pStyle w:val="40"/>
            </w:pPr>
          </w:p>
        </w:tc>
        <w:tc>
          <w:tcPr>
            <w:tcW w:w="1960" w:type="dxa"/>
            <w:tcBorders>
              <w:top w:val="nil"/>
              <w:left w:val="nil"/>
              <w:bottom w:val="single" w:color="auto" w:sz="4" w:space="0"/>
              <w:right w:val="single" w:color="auto" w:sz="4" w:space="0"/>
            </w:tcBorders>
            <w:shd w:val="clear" w:color="auto" w:fill="auto"/>
            <w:vAlign w:val="center"/>
          </w:tcPr>
          <w:p w14:paraId="423D65DA">
            <w:pPr>
              <w:pStyle w:val="40"/>
            </w:pPr>
            <w:r>
              <w:t>2017</w:t>
            </w:r>
            <w:r>
              <w:rPr>
                <w:rFonts w:hint="eastAsia"/>
              </w:rPr>
              <w:t>年</w:t>
            </w:r>
          </w:p>
        </w:tc>
        <w:tc>
          <w:tcPr>
            <w:tcW w:w="1960" w:type="dxa"/>
            <w:tcBorders>
              <w:top w:val="nil"/>
              <w:left w:val="nil"/>
              <w:bottom w:val="single" w:color="auto" w:sz="4" w:space="0"/>
              <w:right w:val="single" w:color="auto" w:sz="4" w:space="0"/>
            </w:tcBorders>
            <w:shd w:val="clear" w:color="auto" w:fill="auto"/>
            <w:vAlign w:val="center"/>
          </w:tcPr>
          <w:p w14:paraId="03EE2CE3">
            <w:pPr>
              <w:pStyle w:val="40"/>
            </w:pPr>
            <w:r>
              <w:t>100%</w:t>
            </w:r>
          </w:p>
        </w:tc>
        <w:tc>
          <w:tcPr>
            <w:tcW w:w="1960" w:type="dxa"/>
            <w:tcBorders>
              <w:top w:val="nil"/>
              <w:left w:val="nil"/>
              <w:bottom w:val="single" w:color="auto" w:sz="4" w:space="0"/>
              <w:right w:val="single" w:color="auto" w:sz="4" w:space="0"/>
            </w:tcBorders>
            <w:shd w:val="clear" w:color="auto" w:fill="auto"/>
            <w:vAlign w:val="center"/>
          </w:tcPr>
          <w:p w14:paraId="2EAB1FA5">
            <w:pPr>
              <w:pStyle w:val="40"/>
            </w:pPr>
            <w:r>
              <w:t>99%</w:t>
            </w:r>
          </w:p>
        </w:tc>
      </w:tr>
      <w:tr w14:paraId="324988C2">
        <w:tblPrEx>
          <w:tblCellMar>
            <w:top w:w="0" w:type="dxa"/>
            <w:left w:w="108" w:type="dxa"/>
            <w:bottom w:w="0" w:type="dxa"/>
            <w:right w:w="108" w:type="dxa"/>
          </w:tblCellMar>
        </w:tblPrEx>
        <w:trPr>
          <w:trHeight w:val="345" w:hRule="atLeast"/>
          <w:jc w:val="center"/>
        </w:trPr>
        <w:tc>
          <w:tcPr>
            <w:tcW w:w="1539" w:type="dxa"/>
            <w:vMerge w:val="restart"/>
            <w:tcBorders>
              <w:top w:val="nil"/>
              <w:left w:val="single" w:color="auto" w:sz="4" w:space="0"/>
              <w:bottom w:val="single" w:color="000000" w:sz="4" w:space="0"/>
              <w:right w:val="single" w:color="auto" w:sz="4" w:space="0"/>
            </w:tcBorders>
            <w:shd w:val="clear" w:color="auto" w:fill="auto"/>
            <w:vAlign w:val="center"/>
          </w:tcPr>
          <w:p w14:paraId="78EBA681">
            <w:pPr>
              <w:pStyle w:val="40"/>
            </w:pPr>
            <w:r>
              <w:rPr>
                <w:rFonts w:hint="eastAsia"/>
              </w:rPr>
              <w:t>大东区</w:t>
            </w:r>
          </w:p>
        </w:tc>
        <w:tc>
          <w:tcPr>
            <w:tcW w:w="1960" w:type="dxa"/>
            <w:tcBorders>
              <w:top w:val="nil"/>
              <w:left w:val="nil"/>
              <w:bottom w:val="single" w:color="auto" w:sz="4" w:space="0"/>
              <w:right w:val="single" w:color="auto" w:sz="4" w:space="0"/>
            </w:tcBorders>
            <w:shd w:val="clear" w:color="auto" w:fill="auto"/>
            <w:vAlign w:val="center"/>
          </w:tcPr>
          <w:p w14:paraId="07D8BAB4">
            <w:pPr>
              <w:pStyle w:val="40"/>
            </w:pPr>
            <w:r>
              <w:t>2015</w:t>
            </w:r>
            <w:r>
              <w:rPr>
                <w:rFonts w:hint="eastAsia"/>
              </w:rPr>
              <w:t>年</w:t>
            </w:r>
          </w:p>
        </w:tc>
        <w:tc>
          <w:tcPr>
            <w:tcW w:w="1960" w:type="dxa"/>
            <w:tcBorders>
              <w:top w:val="nil"/>
              <w:left w:val="nil"/>
              <w:bottom w:val="single" w:color="auto" w:sz="4" w:space="0"/>
              <w:right w:val="single" w:color="auto" w:sz="4" w:space="0"/>
            </w:tcBorders>
            <w:shd w:val="clear" w:color="auto" w:fill="auto"/>
            <w:vAlign w:val="center"/>
          </w:tcPr>
          <w:p w14:paraId="0E758B2E">
            <w:pPr>
              <w:pStyle w:val="40"/>
            </w:pPr>
            <w:r>
              <w:t>100%</w:t>
            </w:r>
          </w:p>
        </w:tc>
        <w:tc>
          <w:tcPr>
            <w:tcW w:w="1960" w:type="dxa"/>
            <w:tcBorders>
              <w:top w:val="nil"/>
              <w:left w:val="nil"/>
              <w:bottom w:val="single" w:color="auto" w:sz="4" w:space="0"/>
              <w:right w:val="single" w:color="auto" w:sz="4" w:space="0"/>
            </w:tcBorders>
            <w:shd w:val="clear" w:color="auto" w:fill="auto"/>
            <w:vAlign w:val="center"/>
          </w:tcPr>
          <w:p w14:paraId="3B4BDCA8">
            <w:pPr>
              <w:pStyle w:val="40"/>
            </w:pPr>
            <w:r>
              <w:t>100%</w:t>
            </w:r>
          </w:p>
        </w:tc>
      </w:tr>
      <w:tr w14:paraId="280451FB">
        <w:tblPrEx>
          <w:tblCellMar>
            <w:top w:w="0" w:type="dxa"/>
            <w:left w:w="108" w:type="dxa"/>
            <w:bottom w:w="0" w:type="dxa"/>
            <w:right w:w="108" w:type="dxa"/>
          </w:tblCellMar>
        </w:tblPrEx>
        <w:trPr>
          <w:trHeight w:val="345" w:hRule="atLeast"/>
          <w:jc w:val="center"/>
        </w:trPr>
        <w:tc>
          <w:tcPr>
            <w:tcW w:w="1539" w:type="dxa"/>
            <w:vMerge w:val="continue"/>
            <w:tcBorders>
              <w:top w:val="nil"/>
              <w:left w:val="single" w:color="auto" w:sz="4" w:space="0"/>
              <w:bottom w:val="single" w:color="000000" w:sz="4" w:space="0"/>
              <w:right w:val="single" w:color="auto" w:sz="4" w:space="0"/>
            </w:tcBorders>
            <w:vAlign w:val="center"/>
          </w:tcPr>
          <w:p w14:paraId="4923076F">
            <w:pPr>
              <w:pStyle w:val="40"/>
            </w:pPr>
          </w:p>
        </w:tc>
        <w:tc>
          <w:tcPr>
            <w:tcW w:w="1960" w:type="dxa"/>
            <w:tcBorders>
              <w:top w:val="nil"/>
              <w:left w:val="nil"/>
              <w:bottom w:val="single" w:color="auto" w:sz="4" w:space="0"/>
              <w:right w:val="single" w:color="auto" w:sz="4" w:space="0"/>
            </w:tcBorders>
            <w:shd w:val="clear" w:color="auto" w:fill="auto"/>
            <w:vAlign w:val="center"/>
          </w:tcPr>
          <w:p w14:paraId="40E4BEF4">
            <w:pPr>
              <w:pStyle w:val="40"/>
            </w:pPr>
            <w:r>
              <w:t>2016</w:t>
            </w:r>
            <w:r>
              <w:rPr>
                <w:rFonts w:hint="eastAsia"/>
              </w:rPr>
              <w:t>年</w:t>
            </w:r>
          </w:p>
        </w:tc>
        <w:tc>
          <w:tcPr>
            <w:tcW w:w="1960" w:type="dxa"/>
            <w:tcBorders>
              <w:top w:val="nil"/>
              <w:left w:val="nil"/>
              <w:bottom w:val="single" w:color="auto" w:sz="4" w:space="0"/>
              <w:right w:val="single" w:color="auto" w:sz="4" w:space="0"/>
            </w:tcBorders>
            <w:shd w:val="clear" w:color="auto" w:fill="auto"/>
            <w:vAlign w:val="center"/>
          </w:tcPr>
          <w:p w14:paraId="56E712C5">
            <w:pPr>
              <w:pStyle w:val="40"/>
            </w:pPr>
            <w:r>
              <w:t>100%</w:t>
            </w:r>
          </w:p>
        </w:tc>
        <w:tc>
          <w:tcPr>
            <w:tcW w:w="1960" w:type="dxa"/>
            <w:tcBorders>
              <w:top w:val="nil"/>
              <w:left w:val="nil"/>
              <w:bottom w:val="single" w:color="auto" w:sz="4" w:space="0"/>
              <w:right w:val="single" w:color="auto" w:sz="4" w:space="0"/>
            </w:tcBorders>
            <w:shd w:val="clear" w:color="auto" w:fill="auto"/>
            <w:vAlign w:val="center"/>
          </w:tcPr>
          <w:p w14:paraId="538ED38C">
            <w:pPr>
              <w:pStyle w:val="40"/>
            </w:pPr>
            <w:r>
              <w:t>100%</w:t>
            </w:r>
          </w:p>
        </w:tc>
      </w:tr>
      <w:tr w14:paraId="107DB735">
        <w:tblPrEx>
          <w:tblCellMar>
            <w:top w:w="0" w:type="dxa"/>
            <w:left w:w="108" w:type="dxa"/>
            <w:bottom w:w="0" w:type="dxa"/>
            <w:right w:w="108" w:type="dxa"/>
          </w:tblCellMar>
        </w:tblPrEx>
        <w:trPr>
          <w:trHeight w:val="345" w:hRule="atLeast"/>
          <w:jc w:val="center"/>
        </w:trPr>
        <w:tc>
          <w:tcPr>
            <w:tcW w:w="1539" w:type="dxa"/>
            <w:vMerge w:val="continue"/>
            <w:tcBorders>
              <w:top w:val="nil"/>
              <w:left w:val="single" w:color="auto" w:sz="4" w:space="0"/>
              <w:bottom w:val="single" w:color="000000" w:sz="4" w:space="0"/>
              <w:right w:val="single" w:color="auto" w:sz="4" w:space="0"/>
            </w:tcBorders>
            <w:vAlign w:val="center"/>
          </w:tcPr>
          <w:p w14:paraId="06A23337">
            <w:pPr>
              <w:pStyle w:val="40"/>
            </w:pPr>
          </w:p>
        </w:tc>
        <w:tc>
          <w:tcPr>
            <w:tcW w:w="1960" w:type="dxa"/>
            <w:tcBorders>
              <w:top w:val="nil"/>
              <w:left w:val="nil"/>
              <w:bottom w:val="single" w:color="auto" w:sz="4" w:space="0"/>
              <w:right w:val="single" w:color="auto" w:sz="4" w:space="0"/>
            </w:tcBorders>
            <w:shd w:val="clear" w:color="auto" w:fill="auto"/>
            <w:vAlign w:val="center"/>
          </w:tcPr>
          <w:p w14:paraId="78B869C1">
            <w:pPr>
              <w:pStyle w:val="40"/>
            </w:pPr>
            <w:r>
              <w:t>2018</w:t>
            </w:r>
            <w:r>
              <w:rPr>
                <w:rFonts w:hint="eastAsia"/>
              </w:rPr>
              <w:t>年</w:t>
            </w:r>
          </w:p>
        </w:tc>
        <w:tc>
          <w:tcPr>
            <w:tcW w:w="1960" w:type="dxa"/>
            <w:tcBorders>
              <w:top w:val="nil"/>
              <w:left w:val="nil"/>
              <w:bottom w:val="single" w:color="auto" w:sz="4" w:space="0"/>
              <w:right w:val="single" w:color="auto" w:sz="4" w:space="0"/>
            </w:tcBorders>
            <w:shd w:val="clear" w:color="auto" w:fill="auto"/>
            <w:vAlign w:val="center"/>
          </w:tcPr>
          <w:p w14:paraId="67F294F5">
            <w:pPr>
              <w:pStyle w:val="40"/>
            </w:pPr>
            <w:r>
              <w:t>100%</w:t>
            </w:r>
          </w:p>
        </w:tc>
        <w:tc>
          <w:tcPr>
            <w:tcW w:w="1960" w:type="dxa"/>
            <w:tcBorders>
              <w:top w:val="nil"/>
              <w:left w:val="nil"/>
              <w:bottom w:val="single" w:color="auto" w:sz="4" w:space="0"/>
              <w:right w:val="single" w:color="auto" w:sz="4" w:space="0"/>
            </w:tcBorders>
            <w:shd w:val="clear" w:color="auto" w:fill="auto"/>
            <w:vAlign w:val="center"/>
          </w:tcPr>
          <w:p w14:paraId="3C997A86">
            <w:pPr>
              <w:pStyle w:val="40"/>
            </w:pPr>
            <w:r>
              <w:t>100%</w:t>
            </w:r>
          </w:p>
        </w:tc>
      </w:tr>
      <w:tr w14:paraId="57C2F4D7">
        <w:tblPrEx>
          <w:tblCellMar>
            <w:top w:w="0" w:type="dxa"/>
            <w:left w:w="108" w:type="dxa"/>
            <w:bottom w:w="0" w:type="dxa"/>
            <w:right w:w="108" w:type="dxa"/>
          </w:tblCellMar>
        </w:tblPrEx>
        <w:trPr>
          <w:trHeight w:val="345" w:hRule="atLeast"/>
          <w:jc w:val="center"/>
        </w:trPr>
        <w:tc>
          <w:tcPr>
            <w:tcW w:w="1539" w:type="dxa"/>
            <w:tcBorders>
              <w:top w:val="nil"/>
              <w:left w:val="single" w:color="auto" w:sz="4" w:space="0"/>
              <w:bottom w:val="single" w:color="auto" w:sz="4" w:space="0"/>
              <w:right w:val="single" w:color="auto" w:sz="4" w:space="0"/>
            </w:tcBorders>
            <w:shd w:val="clear" w:color="auto" w:fill="auto"/>
            <w:vAlign w:val="center"/>
          </w:tcPr>
          <w:p w14:paraId="39343FEF">
            <w:pPr>
              <w:pStyle w:val="40"/>
            </w:pPr>
            <w:r>
              <w:rPr>
                <w:rFonts w:hint="eastAsia"/>
              </w:rPr>
              <w:t>于洪区</w:t>
            </w:r>
          </w:p>
        </w:tc>
        <w:tc>
          <w:tcPr>
            <w:tcW w:w="1960" w:type="dxa"/>
            <w:tcBorders>
              <w:top w:val="nil"/>
              <w:left w:val="nil"/>
              <w:bottom w:val="single" w:color="auto" w:sz="4" w:space="0"/>
              <w:right w:val="single" w:color="auto" w:sz="4" w:space="0"/>
            </w:tcBorders>
            <w:shd w:val="clear" w:color="auto" w:fill="auto"/>
            <w:vAlign w:val="center"/>
          </w:tcPr>
          <w:p w14:paraId="4AFC958F">
            <w:pPr>
              <w:pStyle w:val="40"/>
            </w:pPr>
            <w:r>
              <w:t>2020</w:t>
            </w:r>
            <w:r>
              <w:rPr>
                <w:rFonts w:hint="eastAsia"/>
              </w:rPr>
              <w:t>年</w:t>
            </w:r>
          </w:p>
        </w:tc>
        <w:tc>
          <w:tcPr>
            <w:tcW w:w="1960" w:type="dxa"/>
            <w:tcBorders>
              <w:top w:val="nil"/>
              <w:left w:val="nil"/>
              <w:bottom w:val="single" w:color="auto" w:sz="4" w:space="0"/>
              <w:right w:val="single" w:color="auto" w:sz="4" w:space="0"/>
            </w:tcBorders>
            <w:shd w:val="clear" w:color="auto" w:fill="auto"/>
            <w:vAlign w:val="center"/>
          </w:tcPr>
          <w:p w14:paraId="5552CFA6">
            <w:pPr>
              <w:pStyle w:val="40"/>
            </w:pPr>
            <w:r>
              <w:t>100%</w:t>
            </w:r>
          </w:p>
        </w:tc>
        <w:tc>
          <w:tcPr>
            <w:tcW w:w="1960" w:type="dxa"/>
            <w:tcBorders>
              <w:top w:val="nil"/>
              <w:left w:val="nil"/>
              <w:bottom w:val="single" w:color="auto" w:sz="4" w:space="0"/>
              <w:right w:val="single" w:color="auto" w:sz="4" w:space="0"/>
            </w:tcBorders>
            <w:shd w:val="clear" w:color="auto" w:fill="auto"/>
            <w:vAlign w:val="center"/>
          </w:tcPr>
          <w:p w14:paraId="03F404BD">
            <w:pPr>
              <w:pStyle w:val="40"/>
            </w:pPr>
            <w:r>
              <w:t>99%</w:t>
            </w:r>
          </w:p>
        </w:tc>
      </w:tr>
    </w:tbl>
    <w:p w14:paraId="6665AE2D">
      <w:pPr>
        <w:spacing w:before="156" w:beforeLines="50" w:line="360" w:lineRule="auto"/>
      </w:pPr>
      <w:r>
        <w:t>2015-2019</w:t>
      </w:r>
      <w:r>
        <w:rPr>
          <w:rFonts w:hint="eastAsia"/>
        </w:rPr>
        <w:t>年沈阳市各区县绿色建筑建设情况整理了由各个区县分享的绿色建筑相关数据，由于统计口径的不同，下表存在大量的数据缺失。根据目前已整理的数据可知，沈阳市各区县绿色建筑占新建建筑的比例在十三五期间呈上升趋势，且沈阳市的绿色建筑仍有很大的发展空间。</w:t>
      </w:r>
    </w:p>
    <w:p w14:paraId="450245DD">
      <w:r>
        <w:t>表3-</w:t>
      </w:r>
      <w:r>
        <w:fldChar w:fldCharType="begin"/>
      </w:r>
      <w:r>
        <w:instrText xml:space="preserve"> SEQ 表3- \* ARABIC </w:instrText>
      </w:r>
      <w:r>
        <w:fldChar w:fldCharType="separate"/>
      </w:r>
      <w:r>
        <w:t>8</w:t>
      </w:r>
      <w:r>
        <w:fldChar w:fldCharType="end"/>
      </w:r>
      <w:r>
        <w:t xml:space="preserve"> 2015-2019</w:t>
      </w:r>
      <w:r>
        <w:rPr>
          <w:rFonts w:hint="eastAsia"/>
        </w:rPr>
        <w:t>年沈阳市各区县绿色建筑建设情况</w:t>
      </w:r>
    </w:p>
    <w:tbl>
      <w:tblPr>
        <w:tblStyle w:val="20"/>
        <w:tblW w:w="9440" w:type="dxa"/>
        <w:jc w:val="center"/>
        <w:tblLayout w:type="autofit"/>
        <w:tblCellMar>
          <w:top w:w="0" w:type="dxa"/>
          <w:left w:w="108" w:type="dxa"/>
          <w:bottom w:w="0" w:type="dxa"/>
          <w:right w:w="108" w:type="dxa"/>
        </w:tblCellMar>
      </w:tblPr>
      <w:tblGrid>
        <w:gridCol w:w="1240"/>
        <w:gridCol w:w="1400"/>
        <w:gridCol w:w="1300"/>
        <w:gridCol w:w="1100"/>
        <w:gridCol w:w="1100"/>
        <w:gridCol w:w="1100"/>
        <w:gridCol w:w="1100"/>
        <w:gridCol w:w="1100"/>
      </w:tblGrid>
      <w:tr w14:paraId="7364C4FE">
        <w:tblPrEx>
          <w:tblCellMar>
            <w:top w:w="0" w:type="dxa"/>
            <w:left w:w="108" w:type="dxa"/>
            <w:bottom w:w="0" w:type="dxa"/>
            <w:right w:w="108" w:type="dxa"/>
          </w:tblCellMar>
        </w:tblPrEx>
        <w:trPr>
          <w:trHeight w:val="435" w:hRule="atLeast"/>
          <w:jc w:val="center"/>
        </w:trPr>
        <w:tc>
          <w:tcPr>
            <w:tcW w:w="1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2D8C32">
            <w:pPr>
              <w:pStyle w:val="40"/>
            </w:pPr>
            <w:r>
              <w:rPr>
                <w:rFonts w:hint="eastAsia"/>
              </w:rPr>
              <w:t>区划</w:t>
            </w:r>
          </w:p>
        </w:tc>
        <w:tc>
          <w:tcPr>
            <w:tcW w:w="1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A3274C">
            <w:pPr>
              <w:pStyle w:val="40"/>
            </w:pPr>
            <w:r>
              <w:rPr>
                <w:rFonts w:hint="eastAsia"/>
              </w:rPr>
              <w:t>时间</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3B0BC6">
            <w:pPr>
              <w:pStyle w:val="40"/>
            </w:pPr>
            <w:r>
              <w:rPr>
                <w:rFonts w:hint="eastAsia"/>
              </w:rPr>
              <w:t>总建筑面积</w:t>
            </w:r>
            <w:r>
              <w:br w:type="textWrapping"/>
            </w:r>
            <w:r>
              <w:rPr>
                <w:rFonts w:hint="eastAsia"/>
              </w:rPr>
              <w:t>（万㎡）</w:t>
            </w:r>
          </w:p>
        </w:tc>
        <w:tc>
          <w:tcPr>
            <w:tcW w:w="5500" w:type="dxa"/>
            <w:gridSpan w:val="5"/>
            <w:tcBorders>
              <w:top w:val="single" w:color="auto" w:sz="4" w:space="0"/>
              <w:left w:val="nil"/>
              <w:bottom w:val="single" w:color="auto" w:sz="4" w:space="0"/>
              <w:right w:val="single" w:color="auto" w:sz="4" w:space="0"/>
            </w:tcBorders>
            <w:shd w:val="clear" w:color="auto" w:fill="auto"/>
            <w:vAlign w:val="center"/>
          </w:tcPr>
          <w:p w14:paraId="61E2D74F">
            <w:pPr>
              <w:pStyle w:val="40"/>
            </w:pPr>
            <w:r>
              <w:rPr>
                <w:rFonts w:hint="eastAsia"/>
              </w:rPr>
              <w:t>绿色建筑</w:t>
            </w:r>
          </w:p>
        </w:tc>
      </w:tr>
      <w:tr w14:paraId="71EEFFD4">
        <w:tblPrEx>
          <w:tblCellMar>
            <w:top w:w="0" w:type="dxa"/>
            <w:left w:w="108" w:type="dxa"/>
            <w:bottom w:w="0" w:type="dxa"/>
            <w:right w:w="108" w:type="dxa"/>
          </w:tblCellMar>
        </w:tblPrEx>
        <w:trPr>
          <w:trHeight w:val="1605" w:hRule="atLeast"/>
          <w:jc w:val="center"/>
        </w:trPr>
        <w:tc>
          <w:tcPr>
            <w:tcW w:w="1240" w:type="dxa"/>
            <w:vMerge w:val="continue"/>
            <w:tcBorders>
              <w:top w:val="single" w:color="auto" w:sz="4" w:space="0"/>
              <w:left w:val="single" w:color="auto" w:sz="4" w:space="0"/>
              <w:bottom w:val="single" w:color="auto" w:sz="4" w:space="0"/>
              <w:right w:val="single" w:color="auto" w:sz="4" w:space="0"/>
            </w:tcBorders>
            <w:vAlign w:val="center"/>
          </w:tcPr>
          <w:p w14:paraId="1328580A">
            <w:pPr>
              <w:pStyle w:val="40"/>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25A80373">
            <w:pPr>
              <w:pStyle w:val="40"/>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14:paraId="4B9343DB">
            <w:pPr>
              <w:pStyle w:val="40"/>
            </w:pPr>
          </w:p>
        </w:tc>
        <w:tc>
          <w:tcPr>
            <w:tcW w:w="1100" w:type="dxa"/>
            <w:tcBorders>
              <w:top w:val="nil"/>
              <w:left w:val="nil"/>
              <w:bottom w:val="single" w:color="auto" w:sz="4" w:space="0"/>
              <w:right w:val="single" w:color="auto" w:sz="4" w:space="0"/>
            </w:tcBorders>
            <w:shd w:val="clear" w:color="auto" w:fill="auto"/>
            <w:vAlign w:val="center"/>
          </w:tcPr>
          <w:p w14:paraId="467A585A">
            <w:pPr>
              <w:pStyle w:val="40"/>
            </w:pPr>
            <w:r>
              <w:rPr>
                <w:rFonts w:hint="eastAsia"/>
              </w:rPr>
              <w:t>建筑面积</w:t>
            </w:r>
            <w:r>
              <w:br w:type="textWrapping"/>
            </w:r>
            <w:r>
              <w:rPr>
                <w:rFonts w:hint="eastAsia"/>
              </w:rPr>
              <w:t>（万㎡）</w:t>
            </w:r>
          </w:p>
        </w:tc>
        <w:tc>
          <w:tcPr>
            <w:tcW w:w="1100" w:type="dxa"/>
            <w:tcBorders>
              <w:top w:val="nil"/>
              <w:left w:val="nil"/>
              <w:bottom w:val="single" w:color="auto" w:sz="4" w:space="0"/>
              <w:right w:val="single" w:color="auto" w:sz="4" w:space="0"/>
            </w:tcBorders>
            <w:shd w:val="clear" w:color="auto" w:fill="auto"/>
            <w:vAlign w:val="center"/>
          </w:tcPr>
          <w:p w14:paraId="36AB2052">
            <w:pPr>
              <w:pStyle w:val="40"/>
            </w:pPr>
            <w:r>
              <w:rPr>
                <w:rFonts w:hint="eastAsia"/>
              </w:rPr>
              <w:t>绿色建筑占新建建筑比例</w:t>
            </w:r>
          </w:p>
        </w:tc>
        <w:tc>
          <w:tcPr>
            <w:tcW w:w="1100" w:type="dxa"/>
            <w:tcBorders>
              <w:top w:val="nil"/>
              <w:left w:val="nil"/>
              <w:bottom w:val="single" w:color="auto" w:sz="4" w:space="0"/>
              <w:right w:val="single" w:color="auto" w:sz="4" w:space="0"/>
            </w:tcBorders>
            <w:shd w:val="clear" w:color="auto" w:fill="auto"/>
            <w:vAlign w:val="center"/>
          </w:tcPr>
          <w:p w14:paraId="1598378C">
            <w:pPr>
              <w:pStyle w:val="40"/>
            </w:pPr>
            <w:r>
              <w:rPr>
                <w:rFonts w:hint="eastAsia"/>
              </w:rPr>
              <w:t>年竣工建筑面积（万㎡）</w:t>
            </w:r>
          </w:p>
        </w:tc>
        <w:tc>
          <w:tcPr>
            <w:tcW w:w="1100" w:type="dxa"/>
            <w:tcBorders>
              <w:top w:val="nil"/>
              <w:left w:val="nil"/>
              <w:bottom w:val="single" w:color="auto" w:sz="4" w:space="0"/>
              <w:right w:val="single" w:color="auto" w:sz="4" w:space="0"/>
            </w:tcBorders>
            <w:shd w:val="clear" w:color="auto" w:fill="auto"/>
            <w:vAlign w:val="center"/>
          </w:tcPr>
          <w:p w14:paraId="08B176E5">
            <w:pPr>
              <w:pStyle w:val="40"/>
            </w:pPr>
            <w:r>
              <w:rPr>
                <w:rFonts w:hint="eastAsia"/>
              </w:rPr>
              <w:t>年竣工绿建面积（万㎡）</w:t>
            </w:r>
          </w:p>
        </w:tc>
        <w:tc>
          <w:tcPr>
            <w:tcW w:w="1100" w:type="dxa"/>
            <w:tcBorders>
              <w:top w:val="nil"/>
              <w:left w:val="nil"/>
              <w:bottom w:val="single" w:color="auto" w:sz="4" w:space="0"/>
              <w:right w:val="single" w:color="auto" w:sz="4" w:space="0"/>
            </w:tcBorders>
            <w:shd w:val="clear" w:color="auto" w:fill="auto"/>
            <w:vAlign w:val="center"/>
          </w:tcPr>
          <w:p w14:paraId="6AE51E3A">
            <w:pPr>
              <w:pStyle w:val="40"/>
            </w:pPr>
            <w:r>
              <w:rPr>
                <w:rFonts w:hint="eastAsia"/>
              </w:rPr>
              <w:t>竣工绿建占竣工建筑面积比例</w:t>
            </w:r>
          </w:p>
        </w:tc>
      </w:tr>
      <w:tr w14:paraId="24C7C303">
        <w:tblPrEx>
          <w:tblCellMar>
            <w:top w:w="0" w:type="dxa"/>
            <w:left w:w="108" w:type="dxa"/>
            <w:bottom w:w="0" w:type="dxa"/>
            <w:right w:w="108" w:type="dxa"/>
          </w:tblCellMar>
        </w:tblPrEx>
        <w:trPr>
          <w:trHeight w:val="345" w:hRule="atLeast"/>
          <w:jc w:val="center"/>
        </w:trPr>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053B03E2">
            <w:pPr>
              <w:pStyle w:val="40"/>
            </w:pPr>
            <w:r>
              <w:rPr>
                <w:rFonts w:hint="eastAsia"/>
              </w:rPr>
              <w:t>和平区</w:t>
            </w:r>
          </w:p>
        </w:tc>
        <w:tc>
          <w:tcPr>
            <w:tcW w:w="1400" w:type="dxa"/>
            <w:tcBorders>
              <w:top w:val="nil"/>
              <w:left w:val="nil"/>
              <w:bottom w:val="single" w:color="auto" w:sz="4" w:space="0"/>
              <w:right w:val="single" w:color="auto" w:sz="4" w:space="0"/>
            </w:tcBorders>
            <w:shd w:val="clear" w:color="auto" w:fill="auto"/>
            <w:vAlign w:val="center"/>
          </w:tcPr>
          <w:p w14:paraId="3190A9AD">
            <w:pPr>
              <w:pStyle w:val="40"/>
            </w:pPr>
            <w:r>
              <w:t>2017</w:t>
            </w:r>
            <w:r>
              <w:rPr>
                <w:rFonts w:hint="eastAsia"/>
              </w:rPr>
              <w:t>年</w:t>
            </w:r>
          </w:p>
        </w:tc>
        <w:tc>
          <w:tcPr>
            <w:tcW w:w="1300" w:type="dxa"/>
            <w:tcBorders>
              <w:top w:val="nil"/>
              <w:left w:val="nil"/>
              <w:bottom w:val="single" w:color="auto" w:sz="4" w:space="0"/>
              <w:right w:val="single" w:color="auto" w:sz="4" w:space="0"/>
            </w:tcBorders>
            <w:shd w:val="clear" w:color="auto" w:fill="auto"/>
            <w:vAlign w:val="center"/>
          </w:tcPr>
          <w:p w14:paraId="1D592A51">
            <w:pPr>
              <w:pStyle w:val="40"/>
            </w:pPr>
          </w:p>
        </w:tc>
        <w:tc>
          <w:tcPr>
            <w:tcW w:w="1100" w:type="dxa"/>
            <w:tcBorders>
              <w:top w:val="nil"/>
              <w:left w:val="nil"/>
              <w:bottom w:val="single" w:color="auto" w:sz="4" w:space="0"/>
              <w:right w:val="single" w:color="auto" w:sz="4" w:space="0"/>
            </w:tcBorders>
            <w:shd w:val="clear" w:color="auto" w:fill="auto"/>
            <w:vAlign w:val="center"/>
          </w:tcPr>
          <w:p w14:paraId="46ADA6BF">
            <w:pPr>
              <w:pStyle w:val="40"/>
            </w:pPr>
            <w:r>
              <w:t>66.86</w:t>
            </w:r>
          </w:p>
        </w:tc>
        <w:tc>
          <w:tcPr>
            <w:tcW w:w="1100" w:type="dxa"/>
            <w:tcBorders>
              <w:top w:val="nil"/>
              <w:left w:val="nil"/>
              <w:bottom w:val="single" w:color="auto" w:sz="4" w:space="0"/>
              <w:right w:val="single" w:color="auto" w:sz="4" w:space="0"/>
            </w:tcBorders>
            <w:shd w:val="clear" w:color="auto" w:fill="auto"/>
            <w:vAlign w:val="center"/>
          </w:tcPr>
          <w:p w14:paraId="35FE95D3">
            <w:pPr>
              <w:pStyle w:val="40"/>
            </w:pPr>
          </w:p>
        </w:tc>
        <w:tc>
          <w:tcPr>
            <w:tcW w:w="1100" w:type="dxa"/>
            <w:tcBorders>
              <w:top w:val="nil"/>
              <w:left w:val="nil"/>
              <w:bottom w:val="single" w:color="auto" w:sz="4" w:space="0"/>
              <w:right w:val="single" w:color="auto" w:sz="4" w:space="0"/>
            </w:tcBorders>
            <w:shd w:val="clear" w:color="auto" w:fill="auto"/>
            <w:vAlign w:val="center"/>
          </w:tcPr>
          <w:p w14:paraId="50D21A18">
            <w:pPr>
              <w:pStyle w:val="40"/>
            </w:pPr>
          </w:p>
        </w:tc>
        <w:tc>
          <w:tcPr>
            <w:tcW w:w="1100" w:type="dxa"/>
            <w:tcBorders>
              <w:top w:val="nil"/>
              <w:left w:val="nil"/>
              <w:bottom w:val="single" w:color="auto" w:sz="4" w:space="0"/>
              <w:right w:val="single" w:color="auto" w:sz="4" w:space="0"/>
            </w:tcBorders>
            <w:shd w:val="clear" w:color="auto" w:fill="auto"/>
            <w:vAlign w:val="center"/>
          </w:tcPr>
          <w:p w14:paraId="321E811A">
            <w:pPr>
              <w:pStyle w:val="40"/>
            </w:pPr>
          </w:p>
        </w:tc>
        <w:tc>
          <w:tcPr>
            <w:tcW w:w="1100" w:type="dxa"/>
            <w:tcBorders>
              <w:top w:val="nil"/>
              <w:left w:val="nil"/>
              <w:bottom w:val="single" w:color="auto" w:sz="4" w:space="0"/>
              <w:right w:val="single" w:color="auto" w:sz="4" w:space="0"/>
            </w:tcBorders>
            <w:shd w:val="clear" w:color="auto" w:fill="auto"/>
            <w:vAlign w:val="center"/>
          </w:tcPr>
          <w:p w14:paraId="7B072381">
            <w:pPr>
              <w:pStyle w:val="40"/>
            </w:pPr>
          </w:p>
        </w:tc>
      </w:tr>
      <w:tr w14:paraId="76AE9E2D">
        <w:tblPrEx>
          <w:tblCellMar>
            <w:top w:w="0" w:type="dxa"/>
            <w:left w:w="108" w:type="dxa"/>
            <w:bottom w:w="0" w:type="dxa"/>
            <w:right w:w="108" w:type="dxa"/>
          </w:tblCellMar>
        </w:tblPrEx>
        <w:trPr>
          <w:trHeight w:val="345" w:hRule="atLeast"/>
          <w:jc w:val="center"/>
        </w:trPr>
        <w:tc>
          <w:tcPr>
            <w:tcW w:w="1240" w:type="dxa"/>
            <w:vMerge w:val="continue"/>
            <w:tcBorders>
              <w:top w:val="nil"/>
              <w:left w:val="single" w:color="auto" w:sz="4" w:space="0"/>
              <w:bottom w:val="single" w:color="auto" w:sz="4" w:space="0"/>
              <w:right w:val="single" w:color="auto" w:sz="4" w:space="0"/>
            </w:tcBorders>
            <w:vAlign w:val="center"/>
          </w:tcPr>
          <w:p w14:paraId="2B428823">
            <w:pPr>
              <w:pStyle w:val="40"/>
            </w:pPr>
          </w:p>
        </w:tc>
        <w:tc>
          <w:tcPr>
            <w:tcW w:w="1400" w:type="dxa"/>
            <w:tcBorders>
              <w:top w:val="nil"/>
              <w:left w:val="nil"/>
              <w:bottom w:val="single" w:color="auto" w:sz="4" w:space="0"/>
              <w:right w:val="single" w:color="auto" w:sz="4" w:space="0"/>
            </w:tcBorders>
            <w:shd w:val="clear" w:color="auto" w:fill="auto"/>
            <w:vAlign w:val="center"/>
          </w:tcPr>
          <w:p w14:paraId="320CD6E3">
            <w:pPr>
              <w:pStyle w:val="40"/>
            </w:pPr>
            <w:r>
              <w:t>2018</w:t>
            </w:r>
            <w:r>
              <w:rPr>
                <w:rFonts w:hint="eastAsia"/>
              </w:rPr>
              <w:t>年</w:t>
            </w:r>
          </w:p>
        </w:tc>
        <w:tc>
          <w:tcPr>
            <w:tcW w:w="1300" w:type="dxa"/>
            <w:tcBorders>
              <w:top w:val="nil"/>
              <w:left w:val="nil"/>
              <w:bottom w:val="single" w:color="auto" w:sz="4" w:space="0"/>
              <w:right w:val="single" w:color="auto" w:sz="4" w:space="0"/>
            </w:tcBorders>
            <w:shd w:val="clear" w:color="auto" w:fill="auto"/>
            <w:vAlign w:val="center"/>
          </w:tcPr>
          <w:p w14:paraId="258A2303">
            <w:pPr>
              <w:pStyle w:val="40"/>
            </w:pPr>
          </w:p>
        </w:tc>
        <w:tc>
          <w:tcPr>
            <w:tcW w:w="1100" w:type="dxa"/>
            <w:tcBorders>
              <w:top w:val="nil"/>
              <w:left w:val="nil"/>
              <w:bottom w:val="single" w:color="auto" w:sz="4" w:space="0"/>
              <w:right w:val="single" w:color="auto" w:sz="4" w:space="0"/>
            </w:tcBorders>
            <w:shd w:val="clear" w:color="auto" w:fill="auto"/>
            <w:vAlign w:val="center"/>
          </w:tcPr>
          <w:p w14:paraId="15383EE7">
            <w:pPr>
              <w:pStyle w:val="40"/>
            </w:pPr>
            <w:r>
              <w:t>179.19</w:t>
            </w:r>
          </w:p>
        </w:tc>
        <w:tc>
          <w:tcPr>
            <w:tcW w:w="1100" w:type="dxa"/>
            <w:tcBorders>
              <w:top w:val="nil"/>
              <w:left w:val="nil"/>
              <w:bottom w:val="single" w:color="auto" w:sz="4" w:space="0"/>
              <w:right w:val="single" w:color="auto" w:sz="4" w:space="0"/>
            </w:tcBorders>
            <w:shd w:val="clear" w:color="auto" w:fill="auto"/>
            <w:vAlign w:val="center"/>
          </w:tcPr>
          <w:p w14:paraId="3EFC86A0">
            <w:pPr>
              <w:pStyle w:val="40"/>
            </w:pPr>
          </w:p>
        </w:tc>
        <w:tc>
          <w:tcPr>
            <w:tcW w:w="1100" w:type="dxa"/>
            <w:tcBorders>
              <w:top w:val="nil"/>
              <w:left w:val="nil"/>
              <w:bottom w:val="single" w:color="auto" w:sz="4" w:space="0"/>
              <w:right w:val="single" w:color="auto" w:sz="4" w:space="0"/>
            </w:tcBorders>
            <w:shd w:val="clear" w:color="auto" w:fill="auto"/>
            <w:vAlign w:val="center"/>
          </w:tcPr>
          <w:p w14:paraId="79B27FF1">
            <w:pPr>
              <w:pStyle w:val="40"/>
            </w:pPr>
          </w:p>
        </w:tc>
        <w:tc>
          <w:tcPr>
            <w:tcW w:w="1100" w:type="dxa"/>
            <w:tcBorders>
              <w:top w:val="nil"/>
              <w:left w:val="nil"/>
              <w:bottom w:val="single" w:color="auto" w:sz="4" w:space="0"/>
              <w:right w:val="single" w:color="auto" w:sz="4" w:space="0"/>
            </w:tcBorders>
            <w:shd w:val="clear" w:color="auto" w:fill="auto"/>
            <w:vAlign w:val="center"/>
          </w:tcPr>
          <w:p w14:paraId="54A4FF02">
            <w:pPr>
              <w:pStyle w:val="40"/>
            </w:pPr>
          </w:p>
        </w:tc>
        <w:tc>
          <w:tcPr>
            <w:tcW w:w="1100" w:type="dxa"/>
            <w:tcBorders>
              <w:top w:val="nil"/>
              <w:left w:val="nil"/>
              <w:bottom w:val="single" w:color="auto" w:sz="4" w:space="0"/>
              <w:right w:val="single" w:color="auto" w:sz="4" w:space="0"/>
            </w:tcBorders>
            <w:shd w:val="clear" w:color="auto" w:fill="auto"/>
            <w:vAlign w:val="center"/>
          </w:tcPr>
          <w:p w14:paraId="6447E1C3">
            <w:pPr>
              <w:pStyle w:val="40"/>
            </w:pPr>
          </w:p>
        </w:tc>
      </w:tr>
      <w:tr w14:paraId="3D8B0617">
        <w:tblPrEx>
          <w:tblCellMar>
            <w:top w:w="0" w:type="dxa"/>
            <w:left w:w="108" w:type="dxa"/>
            <w:bottom w:w="0" w:type="dxa"/>
            <w:right w:w="108" w:type="dxa"/>
          </w:tblCellMar>
        </w:tblPrEx>
        <w:trPr>
          <w:trHeight w:val="345" w:hRule="atLeast"/>
          <w:jc w:val="center"/>
        </w:trPr>
        <w:tc>
          <w:tcPr>
            <w:tcW w:w="1240" w:type="dxa"/>
            <w:vMerge w:val="continue"/>
            <w:tcBorders>
              <w:top w:val="nil"/>
              <w:left w:val="single" w:color="auto" w:sz="4" w:space="0"/>
              <w:bottom w:val="single" w:color="auto" w:sz="4" w:space="0"/>
              <w:right w:val="single" w:color="auto" w:sz="4" w:space="0"/>
            </w:tcBorders>
            <w:vAlign w:val="center"/>
          </w:tcPr>
          <w:p w14:paraId="488CF710">
            <w:pPr>
              <w:pStyle w:val="40"/>
            </w:pPr>
          </w:p>
        </w:tc>
        <w:tc>
          <w:tcPr>
            <w:tcW w:w="1400" w:type="dxa"/>
            <w:tcBorders>
              <w:top w:val="nil"/>
              <w:left w:val="nil"/>
              <w:bottom w:val="single" w:color="auto" w:sz="4" w:space="0"/>
              <w:right w:val="single" w:color="auto" w:sz="4" w:space="0"/>
            </w:tcBorders>
            <w:shd w:val="clear" w:color="auto" w:fill="auto"/>
            <w:vAlign w:val="center"/>
          </w:tcPr>
          <w:p w14:paraId="1246B6C7">
            <w:pPr>
              <w:pStyle w:val="40"/>
            </w:pPr>
            <w:r>
              <w:t>2019</w:t>
            </w:r>
            <w:r>
              <w:rPr>
                <w:rFonts w:hint="eastAsia"/>
              </w:rPr>
              <w:t>年</w:t>
            </w:r>
          </w:p>
        </w:tc>
        <w:tc>
          <w:tcPr>
            <w:tcW w:w="1300" w:type="dxa"/>
            <w:tcBorders>
              <w:top w:val="nil"/>
              <w:left w:val="nil"/>
              <w:bottom w:val="single" w:color="auto" w:sz="4" w:space="0"/>
              <w:right w:val="single" w:color="auto" w:sz="4" w:space="0"/>
            </w:tcBorders>
            <w:shd w:val="clear" w:color="auto" w:fill="auto"/>
            <w:vAlign w:val="center"/>
          </w:tcPr>
          <w:p w14:paraId="49911D58">
            <w:pPr>
              <w:pStyle w:val="40"/>
            </w:pPr>
            <w:r>
              <w:t>218.58</w:t>
            </w:r>
          </w:p>
        </w:tc>
        <w:tc>
          <w:tcPr>
            <w:tcW w:w="1100" w:type="dxa"/>
            <w:tcBorders>
              <w:top w:val="nil"/>
              <w:left w:val="nil"/>
              <w:bottom w:val="single" w:color="auto" w:sz="4" w:space="0"/>
              <w:right w:val="single" w:color="auto" w:sz="4" w:space="0"/>
            </w:tcBorders>
            <w:shd w:val="clear" w:color="auto" w:fill="auto"/>
            <w:vAlign w:val="center"/>
          </w:tcPr>
          <w:p w14:paraId="2B1E8953">
            <w:pPr>
              <w:pStyle w:val="40"/>
            </w:pPr>
            <w:r>
              <w:t>218.58</w:t>
            </w:r>
          </w:p>
        </w:tc>
        <w:tc>
          <w:tcPr>
            <w:tcW w:w="1100" w:type="dxa"/>
            <w:tcBorders>
              <w:top w:val="nil"/>
              <w:left w:val="nil"/>
              <w:bottom w:val="single" w:color="auto" w:sz="4" w:space="0"/>
              <w:right w:val="single" w:color="auto" w:sz="4" w:space="0"/>
            </w:tcBorders>
            <w:shd w:val="clear" w:color="auto" w:fill="auto"/>
            <w:vAlign w:val="center"/>
          </w:tcPr>
          <w:p w14:paraId="389F7DF5">
            <w:pPr>
              <w:pStyle w:val="40"/>
            </w:pPr>
            <w:r>
              <w:t>100%</w:t>
            </w:r>
          </w:p>
        </w:tc>
        <w:tc>
          <w:tcPr>
            <w:tcW w:w="1100" w:type="dxa"/>
            <w:tcBorders>
              <w:top w:val="nil"/>
              <w:left w:val="nil"/>
              <w:bottom w:val="single" w:color="auto" w:sz="4" w:space="0"/>
              <w:right w:val="single" w:color="auto" w:sz="4" w:space="0"/>
            </w:tcBorders>
            <w:shd w:val="clear" w:color="auto" w:fill="auto"/>
            <w:vAlign w:val="center"/>
          </w:tcPr>
          <w:p w14:paraId="54A554EE">
            <w:pPr>
              <w:pStyle w:val="40"/>
            </w:pPr>
          </w:p>
        </w:tc>
        <w:tc>
          <w:tcPr>
            <w:tcW w:w="1100" w:type="dxa"/>
            <w:tcBorders>
              <w:top w:val="nil"/>
              <w:left w:val="nil"/>
              <w:bottom w:val="single" w:color="auto" w:sz="4" w:space="0"/>
              <w:right w:val="single" w:color="auto" w:sz="4" w:space="0"/>
            </w:tcBorders>
            <w:shd w:val="clear" w:color="auto" w:fill="auto"/>
            <w:vAlign w:val="center"/>
          </w:tcPr>
          <w:p w14:paraId="655F41FA">
            <w:pPr>
              <w:pStyle w:val="40"/>
            </w:pPr>
          </w:p>
        </w:tc>
        <w:tc>
          <w:tcPr>
            <w:tcW w:w="1100" w:type="dxa"/>
            <w:tcBorders>
              <w:top w:val="nil"/>
              <w:left w:val="nil"/>
              <w:bottom w:val="single" w:color="auto" w:sz="4" w:space="0"/>
              <w:right w:val="single" w:color="auto" w:sz="4" w:space="0"/>
            </w:tcBorders>
            <w:shd w:val="clear" w:color="auto" w:fill="auto"/>
            <w:vAlign w:val="center"/>
          </w:tcPr>
          <w:p w14:paraId="584038DE">
            <w:pPr>
              <w:pStyle w:val="40"/>
            </w:pPr>
          </w:p>
        </w:tc>
      </w:tr>
      <w:tr w14:paraId="74AF865B">
        <w:tblPrEx>
          <w:tblCellMar>
            <w:top w:w="0" w:type="dxa"/>
            <w:left w:w="108" w:type="dxa"/>
            <w:bottom w:w="0" w:type="dxa"/>
            <w:right w:w="108" w:type="dxa"/>
          </w:tblCellMar>
        </w:tblPrEx>
        <w:trPr>
          <w:trHeight w:val="345" w:hRule="atLeast"/>
          <w:jc w:val="center"/>
        </w:trPr>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0D304FB2">
            <w:pPr>
              <w:pStyle w:val="40"/>
            </w:pPr>
            <w:r>
              <w:rPr>
                <w:rFonts w:hint="eastAsia"/>
              </w:rPr>
              <w:t>大东区</w:t>
            </w:r>
          </w:p>
        </w:tc>
        <w:tc>
          <w:tcPr>
            <w:tcW w:w="1400" w:type="dxa"/>
            <w:tcBorders>
              <w:top w:val="nil"/>
              <w:left w:val="nil"/>
              <w:bottom w:val="single" w:color="auto" w:sz="4" w:space="0"/>
              <w:right w:val="single" w:color="auto" w:sz="4" w:space="0"/>
            </w:tcBorders>
            <w:shd w:val="clear" w:color="auto" w:fill="auto"/>
            <w:vAlign w:val="center"/>
          </w:tcPr>
          <w:p w14:paraId="55C488FD">
            <w:pPr>
              <w:pStyle w:val="40"/>
            </w:pPr>
            <w:r>
              <w:t>2016</w:t>
            </w:r>
            <w:r>
              <w:rPr>
                <w:rFonts w:hint="eastAsia"/>
              </w:rPr>
              <w:t>年</w:t>
            </w:r>
          </w:p>
        </w:tc>
        <w:tc>
          <w:tcPr>
            <w:tcW w:w="1300" w:type="dxa"/>
            <w:tcBorders>
              <w:top w:val="nil"/>
              <w:left w:val="nil"/>
              <w:bottom w:val="single" w:color="auto" w:sz="4" w:space="0"/>
              <w:right w:val="single" w:color="auto" w:sz="4" w:space="0"/>
            </w:tcBorders>
            <w:shd w:val="clear" w:color="auto" w:fill="auto"/>
            <w:vAlign w:val="center"/>
          </w:tcPr>
          <w:p w14:paraId="2E2EE298">
            <w:pPr>
              <w:pStyle w:val="40"/>
            </w:pPr>
          </w:p>
        </w:tc>
        <w:tc>
          <w:tcPr>
            <w:tcW w:w="1100" w:type="dxa"/>
            <w:tcBorders>
              <w:top w:val="nil"/>
              <w:left w:val="nil"/>
              <w:bottom w:val="single" w:color="auto" w:sz="4" w:space="0"/>
              <w:right w:val="single" w:color="auto" w:sz="4" w:space="0"/>
            </w:tcBorders>
            <w:shd w:val="clear" w:color="auto" w:fill="auto"/>
            <w:vAlign w:val="center"/>
          </w:tcPr>
          <w:p w14:paraId="1CA3D5A9">
            <w:pPr>
              <w:pStyle w:val="40"/>
            </w:pPr>
          </w:p>
        </w:tc>
        <w:tc>
          <w:tcPr>
            <w:tcW w:w="1100" w:type="dxa"/>
            <w:tcBorders>
              <w:top w:val="nil"/>
              <w:left w:val="nil"/>
              <w:bottom w:val="single" w:color="auto" w:sz="4" w:space="0"/>
              <w:right w:val="single" w:color="auto" w:sz="4" w:space="0"/>
            </w:tcBorders>
            <w:shd w:val="clear" w:color="auto" w:fill="auto"/>
            <w:vAlign w:val="center"/>
          </w:tcPr>
          <w:p w14:paraId="0DC86542">
            <w:pPr>
              <w:pStyle w:val="40"/>
            </w:pPr>
            <w:r>
              <w:t>30%</w:t>
            </w:r>
          </w:p>
        </w:tc>
        <w:tc>
          <w:tcPr>
            <w:tcW w:w="1100" w:type="dxa"/>
            <w:tcBorders>
              <w:top w:val="nil"/>
              <w:left w:val="nil"/>
              <w:bottom w:val="single" w:color="auto" w:sz="4" w:space="0"/>
              <w:right w:val="single" w:color="auto" w:sz="4" w:space="0"/>
            </w:tcBorders>
            <w:shd w:val="clear" w:color="auto" w:fill="auto"/>
            <w:vAlign w:val="center"/>
          </w:tcPr>
          <w:p w14:paraId="7EA7E6F7">
            <w:pPr>
              <w:pStyle w:val="40"/>
            </w:pPr>
          </w:p>
        </w:tc>
        <w:tc>
          <w:tcPr>
            <w:tcW w:w="1100" w:type="dxa"/>
            <w:tcBorders>
              <w:top w:val="nil"/>
              <w:left w:val="nil"/>
              <w:bottom w:val="single" w:color="auto" w:sz="4" w:space="0"/>
              <w:right w:val="single" w:color="auto" w:sz="4" w:space="0"/>
            </w:tcBorders>
            <w:shd w:val="clear" w:color="auto" w:fill="auto"/>
            <w:vAlign w:val="center"/>
          </w:tcPr>
          <w:p w14:paraId="4A020CB2">
            <w:pPr>
              <w:pStyle w:val="40"/>
            </w:pPr>
          </w:p>
        </w:tc>
        <w:tc>
          <w:tcPr>
            <w:tcW w:w="1100" w:type="dxa"/>
            <w:tcBorders>
              <w:top w:val="nil"/>
              <w:left w:val="nil"/>
              <w:bottom w:val="single" w:color="auto" w:sz="4" w:space="0"/>
              <w:right w:val="single" w:color="auto" w:sz="4" w:space="0"/>
            </w:tcBorders>
            <w:shd w:val="clear" w:color="auto" w:fill="auto"/>
            <w:vAlign w:val="center"/>
          </w:tcPr>
          <w:p w14:paraId="611DECF5">
            <w:pPr>
              <w:pStyle w:val="40"/>
            </w:pPr>
          </w:p>
        </w:tc>
      </w:tr>
      <w:tr w14:paraId="444F7CE6">
        <w:tblPrEx>
          <w:tblCellMar>
            <w:top w:w="0" w:type="dxa"/>
            <w:left w:w="108" w:type="dxa"/>
            <w:bottom w:w="0" w:type="dxa"/>
            <w:right w:w="108" w:type="dxa"/>
          </w:tblCellMar>
        </w:tblPrEx>
        <w:trPr>
          <w:trHeight w:val="345" w:hRule="atLeast"/>
          <w:jc w:val="center"/>
        </w:trPr>
        <w:tc>
          <w:tcPr>
            <w:tcW w:w="1240" w:type="dxa"/>
            <w:vMerge w:val="continue"/>
            <w:tcBorders>
              <w:top w:val="nil"/>
              <w:left w:val="single" w:color="auto" w:sz="4" w:space="0"/>
              <w:bottom w:val="single" w:color="auto" w:sz="4" w:space="0"/>
              <w:right w:val="single" w:color="auto" w:sz="4" w:space="0"/>
            </w:tcBorders>
            <w:vAlign w:val="center"/>
          </w:tcPr>
          <w:p w14:paraId="1B51C366">
            <w:pPr>
              <w:pStyle w:val="40"/>
            </w:pPr>
          </w:p>
        </w:tc>
        <w:tc>
          <w:tcPr>
            <w:tcW w:w="1400" w:type="dxa"/>
            <w:tcBorders>
              <w:top w:val="nil"/>
              <w:left w:val="nil"/>
              <w:bottom w:val="single" w:color="auto" w:sz="4" w:space="0"/>
              <w:right w:val="single" w:color="auto" w:sz="4" w:space="0"/>
            </w:tcBorders>
            <w:shd w:val="clear" w:color="auto" w:fill="auto"/>
            <w:vAlign w:val="center"/>
          </w:tcPr>
          <w:p w14:paraId="7DF35E70">
            <w:pPr>
              <w:pStyle w:val="40"/>
            </w:pPr>
            <w:r>
              <w:t>2018</w:t>
            </w:r>
            <w:r>
              <w:rPr>
                <w:rFonts w:hint="eastAsia"/>
              </w:rPr>
              <w:t>年</w:t>
            </w:r>
          </w:p>
        </w:tc>
        <w:tc>
          <w:tcPr>
            <w:tcW w:w="1300" w:type="dxa"/>
            <w:tcBorders>
              <w:top w:val="nil"/>
              <w:left w:val="nil"/>
              <w:bottom w:val="single" w:color="auto" w:sz="4" w:space="0"/>
              <w:right w:val="single" w:color="auto" w:sz="4" w:space="0"/>
            </w:tcBorders>
            <w:shd w:val="clear" w:color="auto" w:fill="auto"/>
            <w:vAlign w:val="center"/>
          </w:tcPr>
          <w:p w14:paraId="5BBF9214">
            <w:pPr>
              <w:pStyle w:val="40"/>
            </w:pPr>
          </w:p>
        </w:tc>
        <w:tc>
          <w:tcPr>
            <w:tcW w:w="1100" w:type="dxa"/>
            <w:tcBorders>
              <w:top w:val="nil"/>
              <w:left w:val="nil"/>
              <w:bottom w:val="single" w:color="auto" w:sz="4" w:space="0"/>
              <w:right w:val="single" w:color="auto" w:sz="4" w:space="0"/>
            </w:tcBorders>
            <w:shd w:val="clear" w:color="auto" w:fill="auto"/>
            <w:vAlign w:val="center"/>
          </w:tcPr>
          <w:p w14:paraId="48D9C51F">
            <w:pPr>
              <w:pStyle w:val="40"/>
            </w:pPr>
            <w:r>
              <w:t>86.00</w:t>
            </w:r>
          </w:p>
        </w:tc>
        <w:tc>
          <w:tcPr>
            <w:tcW w:w="1100" w:type="dxa"/>
            <w:tcBorders>
              <w:top w:val="nil"/>
              <w:left w:val="nil"/>
              <w:bottom w:val="single" w:color="auto" w:sz="4" w:space="0"/>
              <w:right w:val="single" w:color="auto" w:sz="4" w:space="0"/>
            </w:tcBorders>
            <w:shd w:val="clear" w:color="auto" w:fill="auto"/>
            <w:vAlign w:val="center"/>
          </w:tcPr>
          <w:p w14:paraId="30CED8F7">
            <w:pPr>
              <w:pStyle w:val="40"/>
            </w:pPr>
            <w:r>
              <w:t>59%</w:t>
            </w:r>
          </w:p>
        </w:tc>
        <w:tc>
          <w:tcPr>
            <w:tcW w:w="1100" w:type="dxa"/>
            <w:tcBorders>
              <w:top w:val="nil"/>
              <w:left w:val="nil"/>
              <w:bottom w:val="single" w:color="auto" w:sz="4" w:space="0"/>
              <w:right w:val="single" w:color="auto" w:sz="4" w:space="0"/>
            </w:tcBorders>
            <w:shd w:val="clear" w:color="auto" w:fill="auto"/>
            <w:vAlign w:val="center"/>
          </w:tcPr>
          <w:p w14:paraId="762E1518">
            <w:pPr>
              <w:pStyle w:val="40"/>
            </w:pPr>
          </w:p>
        </w:tc>
        <w:tc>
          <w:tcPr>
            <w:tcW w:w="1100" w:type="dxa"/>
            <w:tcBorders>
              <w:top w:val="nil"/>
              <w:left w:val="nil"/>
              <w:bottom w:val="single" w:color="auto" w:sz="4" w:space="0"/>
              <w:right w:val="single" w:color="auto" w:sz="4" w:space="0"/>
            </w:tcBorders>
            <w:shd w:val="clear" w:color="auto" w:fill="auto"/>
            <w:vAlign w:val="center"/>
          </w:tcPr>
          <w:p w14:paraId="31DB3C6A">
            <w:pPr>
              <w:pStyle w:val="40"/>
            </w:pPr>
          </w:p>
        </w:tc>
        <w:tc>
          <w:tcPr>
            <w:tcW w:w="1100" w:type="dxa"/>
            <w:tcBorders>
              <w:top w:val="nil"/>
              <w:left w:val="nil"/>
              <w:bottom w:val="single" w:color="auto" w:sz="4" w:space="0"/>
              <w:right w:val="single" w:color="auto" w:sz="4" w:space="0"/>
            </w:tcBorders>
            <w:shd w:val="clear" w:color="auto" w:fill="auto"/>
            <w:vAlign w:val="center"/>
          </w:tcPr>
          <w:p w14:paraId="4AE92944">
            <w:pPr>
              <w:pStyle w:val="40"/>
            </w:pPr>
          </w:p>
        </w:tc>
      </w:tr>
      <w:tr w14:paraId="338A8A5C">
        <w:tblPrEx>
          <w:tblCellMar>
            <w:top w:w="0" w:type="dxa"/>
            <w:left w:w="108" w:type="dxa"/>
            <w:bottom w:w="0" w:type="dxa"/>
            <w:right w:w="108" w:type="dxa"/>
          </w:tblCellMar>
        </w:tblPrEx>
        <w:trPr>
          <w:trHeight w:val="345" w:hRule="atLeast"/>
          <w:jc w:val="center"/>
        </w:trPr>
        <w:tc>
          <w:tcPr>
            <w:tcW w:w="1240" w:type="dxa"/>
            <w:vMerge w:val="continue"/>
            <w:tcBorders>
              <w:top w:val="nil"/>
              <w:left w:val="single" w:color="auto" w:sz="4" w:space="0"/>
              <w:bottom w:val="single" w:color="auto" w:sz="4" w:space="0"/>
              <w:right w:val="single" w:color="auto" w:sz="4" w:space="0"/>
            </w:tcBorders>
            <w:vAlign w:val="center"/>
          </w:tcPr>
          <w:p w14:paraId="221B7078">
            <w:pPr>
              <w:pStyle w:val="40"/>
            </w:pPr>
          </w:p>
        </w:tc>
        <w:tc>
          <w:tcPr>
            <w:tcW w:w="1400" w:type="dxa"/>
            <w:tcBorders>
              <w:top w:val="nil"/>
              <w:left w:val="nil"/>
              <w:bottom w:val="single" w:color="auto" w:sz="4" w:space="0"/>
              <w:right w:val="single" w:color="auto" w:sz="4" w:space="0"/>
            </w:tcBorders>
            <w:shd w:val="clear" w:color="auto" w:fill="auto"/>
            <w:vAlign w:val="center"/>
          </w:tcPr>
          <w:p w14:paraId="79035B0A">
            <w:pPr>
              <w:pStyle w:val="40"/>
            </w:pPr>
            <w:r>
              <w:t>2019</w:t>
            </w:r>
            <w:r>
              <w:rPr>
                <w:rFonts w:hint="eastAsia"/>
              </w:rPr>
              <w:t>年</w:t>
            </w:r>
          </w:p>
        </w:tc>
        <w:tc>
          <w:tcPr>
            <w:tcW w:w="1300" w:type="dxa"/>
            <w:tcBorders>
              <w:top w:val="nil"/>
              <w:left w:val="nil"/>
              <w:bottom w:val="single" w:color="auto" w:sz="4" w:space="0"/>
              <w:right w:val="single" w:color="auto" w:sz="4" w:space="0"/>
            </w:tcBorders>
            <w:shd w:val="clear" w:color="auto" w:fill="auto"/>
            <w:vAlign w:val="center"/>
          </w:tcPr>
          <w:p w14:paraId="378E6FA4">
            <w:pPr>
              <w:pStyle w:val="40"/>
            </w:pPr>
            <w:r>
              <w:t>196.19</w:t>
            </w:r>
          </w:p>
        </w:tc>
        <w:tc>
          <w:tcPr>
            <w:tcW w:w="1100" w:type="dxa"/>
            <w:tcBorders>
              <w:top w:val="nil"/>
              <w:left w:val="nil"/>
              <w:bottom w:val="single" w:color="auto" w:sz="4" w:space="0"/>
              <w:right w:val="single" w:color="auto" w:sz="4" w:space="0"/>
            </w:tcBorders>
            <w:shd w:val="clear" w:color="auto" w:fill="auto"/>
            <w:vAlign w:val="center"/>
          </w:tcPr>
          <w:p w14:paraId="688DD042">
            <w:pPr>
              <w:pStyle w:val="40"/>
            </w:pPr>
            <w:r>
              <w:t>119.69</w:t>
            </w:r>
          </w:p>
        </w:tc>
        <w:tc>
          <w:tcPr>
            <w:tcW w:w="1100" w:type="dxa"/>
            <w:tcBorders>
              <w:top w:val="nil"/>
              <w:left w:val="nil"/>
              <w:bottom w:val="single" w:color="auto" w:sz="4" w:space="0"/>
              <w:right w:val="single" w:color="auto" w:sz="4" w:space="0"/>
            </w:tcBorders>
            <w:shd w:val="clear" w:color="auto" w:fill="auto"/>
            <w:vAlign w:val="center"/>
          </w:tcPr>
          <w:p w14:paraId="3EC329A9">
            <w:pPr>
              <w:pStyle w:val="40"/>
            </w:pPr>
            <w:r>
              <w:t>61%</w:t>
            </w:r>
          </w:p>
        </w:tc>
        <w:tc>
          <w:tcPr>
            <w:tcW w:w="1100" w:type="dxa"/>
            <w:tcBorders>
              <w:top w:val="nil"/>
              <w:left w:val="nil"/>
              <w:bottom w:val="single" w:color="auto" w:sz="4" w:space="0"/>
              <w:right w:val="single" w:color="auto" w:sz="4" w:space="0"/>
            </w:tcBorders>
            <w:shd w:val="clear" w:color="auto" w:fill="auto"/>
            <w:vAlign w:val="center"/>
          </w:tcPr>
          <w:p w14:paraId="28DDE1E0">
            <w:pPr>
              <w:pStyle w:val="40"/>
            </w:pPr>
          </w:p>
        </w:tc>
        <w:tc>
          <w:tcPr>
            <w:tcW w:w="1100" w:type="dxa"/>
            <w:tcBorders>
              <w:top w:val="nil"/>
              <w:left w:val="nil"/>
              <w:bottom w:val="single" w:color="auto" w:sz="4" w:space="0"/>
              <w:right w:val="single" w:color="auto" w:sz="4" w:space="0"/>
            </w:tcBorders>
            <w:shd w:val="clear" w:color="auto" w:fill="auto"/>
            <w:vAlign w:val="center"/>
          </w:tcPr>
          <w:p w14:paraId="145B7077">
            <w:pPr>
              <w:pStyle w:val="40"/>
            </w:pPr>
          </w:p>
        </w:tc>
        <w:tc>
          <w:tcPr>
            <w:tcW w:w="1100" w:type="dxa"/>
            <w:tcBorders>
              <w:top w:val="nil"/>
              <w:left w:val="nil"/>
              <w:bottom w:val="single" w:color="auto" w:sz="4" w:space="0"/>
              <w:right w:val="single" w:color="auto" w:sz="4" w:space="0"/>
            </w:tcBorders>
            <w:shd w:val="clear" w:color="auto" w:fill="auto"/>
            <w:vAlign w:val="center"/>
          </w:tcPr>
          <w:p w14:paraId="1E49A056">
            <w:pPr>
              <w:pStyle w:val="40"/>
            </w:pPr>
          </w:p>
        </w:tc>
      </w:tr>
      <w:tr w14:paraId="486028CD">
        <w:tblPrEx>
          <w:tblCellMar>
            <w:top w:w="0" w:type="dxa"/>
            <w:left w:w="108" w:type="dxa"/>
            <w:bottom w:w="0" w:type="dxa"/>
            <w:right w:w="108" w:type="dxa"/>
          </w:tblCellMar>
        </w:tblPrEx>
        <w:trPr>
          <w:trHeight w:val="345"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14:paraId="4528C851">
            <w:pPr>
              <w:pStyle w:val="40"/>
            </w:pPr>
            <w:r>
              <w:rPr>
                <w:rFonts w:hint="eastAsia"/>
              </w:rPr>
              <w:t>铁西区</w:t>
            </w:r>
          </w:p>
        </w:tc>
        <w:tc>
          <w:tcPr>
            <w:tcW w:w="1400" w:type="dxa"/>
            <w:tcBorders>
              <w:top w:val="nil"/>
              <w:left w:val="nil"/>
              <w:bottom w:val="single" w:color="auto" w:sz="4" w:space="0"/>
              <w:right w:val="single" w:color="auto" w:sz="4" w:space="0"/>
            </w:tcBorders>
            <w:shd w:val="clear" w:color="auto" w:fill="auto"/>
            <w:vAlign w:val="center"/>
          </w:tcPr>
          <w:p w14:paraId="2F39AD1A">
            <w:pPr>
              <w:pStyle w:val="40"/>
              <w:rPr>
                <w:rFonts w:hint="eastAsia" w:eastAsia="仿宋"/>
                <w:lang w:eastAsia="zh-CN"/>
              </w:rPr>
            </w:pPr>
            <w:r>
              <w:rPr>
                <w:rFonts w:hint="eastAsia"/>
                <w:lang w:eastAsia="zh-CN"/>
              </w:rPr>
              <w:t>截至目前</w:t>
            </w:r>
          </w:p>
        </w:tc>
        <w:tc>
          <w:tcPr>
            <w:tcW w:w="1300" w:type="dxa"/>
            <w:tcBorders>
              <w:top w:val="nil"/>
              <w:left w:val="nil"/>
              <w:bottom w:val="single" w:color="auto" w:sz="4" w:space="0"/>
              <w:right w:val="single" w:color="auto" w:sz="4" w:space="0"/>
            </w:tcBorders>
            <w:shd w:val="clear" w:color="auto" w:fill="auto"/>
            <w:vAlign w:val="center"/>
          </w:tcPr>
          <w:p w14:paraId="032FD2FF">
            <w:pPr>
              <w:pStyle w:val="40"/>
            </w:pPr>
            <w:r>
              <w:t>155.90</w:t>
            </w:r>
          </w:p>
        </w:tc>
        <w:tc>
          <w:tcPr>
            <w:tcW w:w="1100" w:type="dxa"/>
            <w:tcBorders>
              <w:top w:val="nil"/>
              <w:left w:val="nil"/>
              <w:bottom w:val="single" w:color="auto" w:sz="4" w:space="0"/>
              <w:right w:val="single" w:color="auto" w:sz="4" w:space="0"/>
            </w:tcBorders>
            <w:shd w:val="clear" w:color="auto" w:fill="auto"/>
            <w:vAlign w:val="center"/>
          </w:tcPr>
          <w:p w14:paraId="6FD12EC1">
            <w:pPr>
              <w:pStyle w:val="40"/>
            </w:pPr>
            <w:r>
              <w:t>98.40</w:t>
            </w:r>
          </w:p>
        </w:tc>
        <w:tc>
          <w:tcPr>
            <w:tcW w:w="1100" w:type="dxa"/>
            <w:tcBorders>
              <w:top w:val="nil"/>
              <w:left w:val="nil"/>
              <w:bottom w:val="single" w:color="auto" w:sz="4" w:space="0"/>
              <w:right w:val="single" w:color="auto" w:sz="4" w:space="0"/>
            </w:tcBorders>
            <w:shd w:val="clear" w:color="auto" w:fill="auto"/>
            <w:vAlign w:val="center"/>
          </w:tcPr>
          <w:p w14:paraId="71473481">
            <w:pPr>
              <w:pStyle w:val="40"/>
            </w:pPr>
            <w:r>
              <w:t>63%</w:t>
            </w:r>
          </w:p>
        </w:tc>
        <w:tc>
          <w:tcPr>
            <w:tcW w:w="1100" w:type="dxa"/>
            <w:tcBorders>
              <w:top w:val="nil"/>
              <w:left w:val="nil"/>
              <w:bottom w:val="single" w:color="auto" w:sz="4" w:space="0"/>
              <w:right w:val="single" w:color="auto" w:sz="4" w:space="0"/>
            </w:tcBorders>
            <w:shd w:val="clear" w:color="auto" w:fill="auto"/>
            <w:vAlign w:val="center"/>
          </w:tcPr>
          <w:p w14:paraId="5C716856">
            <w:pPr>
              <w:pStyle w:val="40"/>
            </w:pPr>
          </w:p>
        </w:tc>
        <w:tc>
          <w:tcPr>
            <w:tcW w:w="1100" w:type="dxa"/>
            <w:tcBorders>
              <w:top w:val="nil"/>
              <w:left w:val="nil"/>
              <w:bottom w:val="single" w:color="auto" w:sz="4" w:space="0"/>
              <w:right w:val="single" w:color="auto" w:sz="4" w:space="0"/>
            </w:tcBorders>
            <w:shd w:val="clear" w:color="auto" w:fill="auto"/>
            <w:vAlign w:val="center"/>
          </w:tcPr>
          <w:p w14:paraId="1487D471">
            <w:pPr>
              <w:pStyle w:val="40"/>
            </w:pPr>
          </w:p>
        </w:tc>
        <w:tc>
          <w:tcPr>
            <w:tcW w:w="1100" w:type="dxa"/>
            <w:tcBorders>
              <w:top w:val="nil"/>
              <w:left w:val="nil"/>
              <w:bottom w:val="single" w:color="auto" w:sz="4" w:space="0"/>
              <w:right w:val="single" w:color="auto" w:sz="4" w:space="0"/>
            </w:tcBorders>
            <w:shd w:val="clear" w:color="auto" w:fill="auto"/>
            <w:vAlign w:val="center"/>
          </w:tcPr>
          <w:p w14:paraId="12EFA890">
            <w:pPr>
              <w:pStyle w:val="40"/>
            </w:pPr>
          </w:p>
        </w:tc>
      </w:tr>
      <w:tr w14:paraId="4F4E49C6">
        <w:tblPrEx>
          <w:tblCellMar>
            <w:top w:w="0" w:type="dxa"/>
            <w:left w:w="108" w:type="dxa"/>
            <w:bottom w:w="0" w:type="dxa"/>
            <w:right w:w="108" w:type="dxa"/>
          </w:tblCellMar>
        </w:tblPrEx>
        <w:trPr>
          <w:trHeight w:val="345"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14:paraId="0600C3FD">
            <w:pPr>
              <w:pStyle w:val="40"/>
            </w:pPr>
            <w:r>
              <w:rPr>
                <w:rFonts w:hint="eastAsia"/>
              </w:rPr>
              <w:t>于洪区</w:t>
            </w:r>
          </w:p>
        </w:tc>
        <w:tc>
          <w:tcPr>
            <w:tcW w:w="1400" w:type="dxa"/>
            <w:tcBorders>
              <w:top w:val="nil"/>
              <w:left w:val="nil"/>
              <w:bottom w:val="single" w:color="auto" w:sz="4" w:space="0"/>
              <w:right w:val="single" w:color="auto" w:sz="4" w:space="0"/>
            </w:tcBorders>
            <w:shd w:val="clear" w:color="auto" w:fill="auto"/>
            <w:vAlign w:val="center"/>
          </w:tcPr>
          <w:p w14:paraId="3F522CB9">
            <w:pPr>
              <w:pStyle w:val="40"/>
            </w:pPr>
            <w:r>
              <w:t>2020</w:t>
            </w:r>
            <w:r>
              <w:rPr>
                <w:rFonts w:hint="eastAsia"/>
              </w:rPr>
              <w:t>年</w:t>
            </w:r>
          </w:p>
        </w:tc>
        <w:tc>
          <w:tcPr>
            <w:tcW w:w="1300" w:type="dxa"/>
            <w:tcBorders>
              <w:top w:val="nil"/>
              <w:left w:val="nil"/>
              <w:bottom w:val="single" w:color="auto" w:sz="4" w:space="0"/>
              <w:right w:val="single" w:color="auto" w:sz="4" w:space="0"/>
            </w:tcBorders>
            <w:shd w:val="clear" w:color="auto" w:fill="auto"/>
            <w:vAlign w:val="center"/>
          </w:tcPr>
          <w:p w14:paraId="383469A4">
            <w:pPr>
              <w:pStyle w:val="40"/>
            </w:pPr>
          </w:p>
        </w:tc>
        <w:tc>
          <w:tcPr>
            <w:tcW w:w="1100" w:type="dxa"/>
            <w:tcBorders>
              <w:top w:val="nil"/>
              <w:left w:val="nil"/>
              <w:bottom w:val="single" w:color="auto" w:sz="4" w:space="0"/>
              <w:right w:val="single" w:color="auto" w:sz="4" w:space="0"/>
            </w:tcBorders>
            <w:shd w:val="clear" w:color="auto" w:fill="auto"/>
            <w:vAlign w:val="center"/>
          </w:tcPr>
          <w:p w14:paraId="7F052F80">
            <w:pPr>
              <w:pStyle w:val="40"/>
            </w:pPr>
          </w:p>
        </w:tc>
        <w:tc>
          <w:tcPr>
            <w:tcW w:w="1100" w:type="dxa"/>
            <w:tcBorders>
              <w:top w:val="nil"/>
              <w:left w:val="nil"/>
              <w:bottom w:val="single" w:color="auto" w:sz="4" w:space="0"/>
              <w:right w:val="single" w:color="auto" w:sz="4" w:space="0"/>
            </w:tcBorders>
            <w:shd w:val="clear" w:color="auto" w:fill="auto"/>
            <w:vAlign w:val="center"/>
          </w:tcPr>
          <w:p w14:paraId="1465ECFD">
            <w:pPr>
              <w:pStyle w:val="40"/>
            </w:pPr>
          </w:p>
        </w:tc>
        <w:tc>
          <w:tcPr>
            <w:tcW w:w="1100" w:type="dxa"/>
            <w:tcBorders>
              <w:top w:val="nil"/>
              <w:left w:val="nil"/>
              <w:bottom w:val="single" w:color="auto" w:sz="4" w:space="0"/>
              <w:right w:val="single" w:color="auto" w:sz="4" w:space="0"/>
            </w:tcBorders>
            <w:shd w:val="clear" w:color="auto" w:fill="auto"/>
            <w:vAlign w:val="center"/>
          </w:tcPr>
          <w:p w14:paraId="5298C9EE">
            <w:pPr>
              <w:pStyle w:val="40"/>
            </w:pPr>
          </w:p>
        </w:tc>
        <w:tc>
          <w:tcPr>
            <w:tcW w:w="1100" w:type="dxa"/>
            <w:tcBorders>
              <w:top w:val="nil"/>
              <w:left w:val="nil"/>
              <w:bottom w:val="single" w:color="auto" w:sz="4" w:space="0"/>
              <w:right w:val="single" w:color="auto" w:sz="4" w:space="0"/>
            </w:tcBorders>
            <w:shd w:val="clear" w:color="auto" w:fill="auto"/>
            <w:vAlign w:val="center"/>
          </w:tcPr>
          <w:p w14:paraId="135AE49E">
            <w:pPr>
              <w:pStyle w:val="40"/>
            </w:pPr>
          </w:p>
        </w:tc>
        <w:tc>
          <w:tcPr>
            <w:tcW w:w="1100" w:type="dxa"/>
            <w:tcBorders>
              <w:top w:val="nil"/>
              <w:left w:val="nil"/>
              <w:bottom w:val="single" w:color="auto" w:sz="4" w:space="0"/>
              <w:right w:val="single" w:color="auto" w:sz="4" w:space="0"/>
            </w:tcBorders>
            <w:shd w:val="clear" w:color="auto" w:fill="auto"/>
            <w:vAlign w:val="center"/>
          </w:tcPr>
          <w:p w14:paraId="5D4A2D91">
            <w:pPr>
              <w:pStyle w:val="40"/>
            </w:pPr>
            <w:r>
              <w:t>40%</w:t>
            </w:r>
          </w:p>
        </w:tc>
      </w:tr>
      <w:tr w14:paraId="6A50B395">
        <w:tblPrEx>
          <w:tblCellMar>
            <w:top w:w="0" w:type="dxa"/>
            <w:left w:w="108" w:type="dxa"/>
            <w:bottom w:w="0" w:type="dxa"/>
            <w:right w:w="108" w:type="dxa"/>
          </w:tblCellMar>
        </w:tblPrEx>
        <w:trPr>
          <w:trHeight w:val="345" w:hRule="atLeast"/>
          <w:jc w:val="center"/>
        </w:trPr>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26239E6D">
            <w:pPr>
              <w:pStyle w:val="40"/>
            </w:pPr>
            <w:r>
              <w:rPr>
                <w:rFonts w:hint="eastAsia"/>
              </w:rPr>
              <w:t>沈北新区</w:t>
            </w:r>
          </w:p>
        </w:tc>
        <w:tc>
          <w:tcPr>
            <w:tcW w:w="1400" w:type="dxa"/>
            <w:tcBorders>
              <w:top w:val="nil"/>
              <w:left w:val="nil"/>
              <w:bottom w:val="single" w:color="auto" w:sz="4" w:space="0"/>
              <w:right w:val="single" w:color="auto" w:sz="4" w:space="0"/>
            </w:tcBorders>
            <w:shd w:val="clear" w:color="auto" w:fill="auto"/>
            <w:vAlign w:val="center"/>
          </w:tcPr>
          <w:p w14:paraId="5AB77434">
            <w:pPr>
              <w:pStyle w:val="40"/>
            </w:pPr>
            <w:r>
              <w:t>2018</w:t>
            </w:r>
            <w:r>
              <w:rPr>
                <w:rFonts w:hint="eastAsia"/>
              </w:rPr>
              <w:t>年</w:t>
            </w:r>
          </w:p>
        </w:tc>
        <w:tc>
          <w:tcPr>
            <w:tcW w:w="1300" w:type="dxa"/>
            <w:tcBorders>
              <w:top w:val="nil"/>
              <w:left w:val="nil"/>
              <w:bottom w:val="single" w:color="auto" w:sz="4" w:space="0"/>
              <w:right w:val="single" w:color="auto" w:sz="4" w:space="0"/>
            </w:tcBorders>
            <w:shd w:val="clear" w:color="auto" w:fill="auto"/>
            <w:vAlign w:val="center"/>
          </w:tcPr>
          <w:p w14:paraId="2B5C5EB3">
            <w:pPr>
              <w:pStyle w:val="40"/>
            </w:pPr>
          </w:p>
        </w:tc>
        <w:tc>
          <w:tcPr>
            <w:tcW w:w="1100" w:type="dxa"/>
            <w:tcBorders>
              <w:top w:val="nil"/>
              <w:left w:val="nil"/>
              <w:bottom w:val="single" w:color="auto" w:sz="4" w:space="0"/>
              <w:right w:val="single" w:color="auto" w:sz="4" w:space="0"/>
            </w:tcBorders>
            <w:shd w:val="clear" w:color="auto" w:fill="auto"/>
            <w:vAlign w:val="center"/>
          </w:tcPr>
          <w:p w14:paraId="66F9C5F3">
            <w:pPr>
              <w:pStyle w:val="40"/>
            </w:pPr>
          </w:p>
        </w:tc>
        <w:tc>
          <w:tcPr>
            <w:tcW w:w="1100" w:type="dxa"/>
            <w:tcBorders>
              <w:top w:val="nil"/>
              <w:left w:val="nil"/>
              <w:bottom w:val="single" w:color="auto" w:sz="4" w:space="0"/>
              <w:right w:val="single" w:color="auto" w:sz="4" w:space="0"/>
            </w:tcBorders>
            <w:shd w:val="clear" w:color="auto" w:fill="auto"/>
            <w:vAlign w:val="center"/>
          </w:tcPr>
          <w:p w14:paraId="26B7D636">
            <w:pPr>
              <w:pStyle w:val="40"/>
            </w:pPr>
          </w:p>
        </w:tc>
        <w:tc>
          <w:tcPr>
            <w:tcW w:w="1100" w:type="dxa"/>
            <w:tcBorders>
              <w:top w:val="nil"/>
              <w:left w:val="nil"/>
              <w:bottom w:val="single" w:color="auto" w:sz="4" w:space="0"/>
              <w:right w:val="single" w:color="auto" w:sz="4" w:space="0"/>
            </w:tcBorders>
            <w:shd w:val="clear" w:color="auto" w:fill="auto"/>
            <w:vAlign w:val="center"/>
          </w:tcPr>
          <w:p w14:paraId="672FA3FC">
            <w:pPr>
              <w:pStyle w:val="40"/>
            </w:pPr>
            <w:r>
              <w:t>598.85</w:t>
            </w:r>
          </w:p>
        </w:tc>
        <w:tc>
          <w:tcPr>
            <w:tcW w:w="1100" w:type="dxa"/>
            <w:tcBorders>
              <w:top w:val="nil"/>
              <w:left w:val="nil"/>
              <w:bottom w:val="single" w:color="auto" w:sz="4" w:space="0"/>
              <w:right w:val="single" w:color="auto" w:sz="4" w:space="0"/>
            </w:tcBorders>
            <w:shd w:val="clear" w:color="auto" w:fill="auto"/>
            <w:vAlign w:val="center"/>
          </w:tcPr>
          <w:p w14:paraId="7E2EFF98">
            <w:pPr>
              <w:pStyle w:val="40"/>
            </w:pPr>
            <w:r>
              <w:t>233.54</w:t>
            </w:r>
          </w:p>
        </w:tc>
        <w:tc>
          <w:tcPr>
            <w:tcW w:w="1100" w:type="dxa"/>
            <w:tcBorders>
              <w:top w:val="nil"/>
              <w:left w:val="nil"/>
              <w:bottom w:val="single" w:color="auto" w:sz="4" w:space="0"/>
              <w:right w:val="single" w:color="auto" w:sz="4" w:space="0"/>
            </w:tcBorders>
            <w:shd w:val="clear" w:color="auto" w:fill="auto"/>
            <w:vAlign w:val="center"/>
          </w:tcPr>
          <w:p w14:paraId="5E12359A">
            <w:pPr>
              <w:pStyle w:val="40"/>
            </w:pPr>
            <w:r>
              <w:t>39%</w:t>
            </w:r>
          </w:p>
        </w:tc>
      </w:tr>
      <w:tr w14:paraId="22971311">
        <w:tblPrEx>
          <w:tblCellMar>
            <w:top w:w="0" w:type="dxa"/>
            <w:left w:w="108" w:type="dxa"/>
            <w:bottom w:w="0" w:type="dxa"/>
            <w:right w:w="108" w:type="dxa"/>
          </w:tblCellMar>
        </w:tblPrEx>
        <w:trPr>
          <w:trHeight w:val="345" w:hRule="atLeast"/>
          <w:jc w:val="center"/>
        </w:trPr>
        <w:tc>
          <w:tcPr>
            <w:tcW w:w="1240" w:type="dxa"/>
            <w:vMerge w:val="continue"/>
            <w:tcBorders>
              <w:top w:val="nil"/>
              <w:left w:val="single" w:color="auto" w:sz="4" w:space="0"/>
              <w:bottom w:val="single" w:color="auto" w:sz="4" w:space="0"/>
              <w:right w:val="single" w:color="auto" w:sz="4" w:space="0"/>
            </w:tcBorders>
            <w:vAlign w:val="center"/>
          </w:tcPr>
          <w:p w14:paraId="1DB69E05">
            <w:pPr>
              <w:pStyle w:val="40"/>
            </w:pPr>
          </w:p>
        </w:tc>
        <w:tc>
          <w:tcPr>
            <w:tcW w:w="1400" w:type="dxa"/>
            <w:tcBorders>
              <w:top w:val="nil"/>
              <w:left w:val="nil"/>
              <w:bottom w:val="single" w:color="auto" w:sz="4" w:space="0"/>
              <w:right w:val="single" w:color="auto" w:sz="4" w:space="0"/>
            </w:tcBorders>
            <w:shd w:val="clear" w:color="auto" w:fill="auto"/>
            <w:vAlign w:val="center"/>
          </w:tcPr>
          <w:p w14:paraId="30F8FCCE">
            <w:pPr>
              <w:pStyle w:val="40"/>
            </w:pPr>
            <w:r>
              <w:t>2019</w:t>
            </w:r>
            <w:r>
              <w:rPr>
                <w:rFonts w:hint="eastAsia"/>
              </w:rPr>
              <w:t>上半年</w:t>
            </w:r>
          </w:p>
        </w:tc>
        <w:tc>
          <w:tcPr>
            <w:tcW w:w="1300" w:type="dxa"/>
            <w:tcBorders>
              <w:top w:val="nil"/>
              <w:left w:val="nil"/>
              <w:bottom w:val="single" w:color="auto" w:sz="4" w:space="0"/>
              <w:right w:val="single" w:color="auto" w:sz="4" w:space="0"/>
            </w:tcBorders>
            <w:shd w:val="clear" w:color="auto" w:fill="auto"/>
            <w:vAlign w:val="center"/>
          </w:tcPr>
          <w:p w14:paraId="32FABD2A">
            <w:pPr>
              <w:pStyle w:val="40"/>
            </w:pPr>
          </w:p>
        </w:tc>
        <w:tc>
          <w:tcPr>
            <w:tcW w:w="1100" w:type="dxa"/>
            <w:tcBorders>
              <w:top w:val="nil"/>
              <w:left w:val="nil"/>
              <w:bottom w:val="single" w:color="auto" w:sz="4" w:space="0"/>
              <w:right w:val="single" w:color="auto" w:sz="4" w:space="0"/>
            </w:tcBorders>
            <w:shd w:val="clear" w:color="auto" w:fill="auto"/>
            <w:vAlign w:val="center"/>
          </w:tcPr>
          <w:p w14:paraId="5EAC9EE2">
            <w:pPr>
              <w:pStyle w:val="40"/>
            </w:pPr>
          </w:p>
        </w:tc>
        <w:tc>
          <w:tcPr>
            <w:tcW w:w="1100" w:type="dxa"/>
            <w:tcBorders>
              <w:top w:val="nil"/>
              <w:left w:val="nil"/>
              <w:bottom w:val="single" w:color="auto" w:sz="4" w:space="0"/>
              <w:right w:val="single" w:color="auto" w:sz="4" w:space="0"/>
            </w:tcBorders>
            <w:shd w:val="clear" w:color="auto" w:fill="auto"/>
            <w:vAlign w:val="center"/>
          </w:tcPr>
          <w:p w14:paraId="4EFC94E6">
            <w:pPr>
              <w:pStyle w:val="40"/>
            </w:pPr>
          </w:p>
        </w:tc>
        <w:tc>
          <w:tcPr>
            <w:tcW w:w="1100" w:type="dxa"/>
            <w:tcBorders>
              <w:top w:val="nil"/>
              <w:left w:val="nil"/>
              <w:bottom w:val="single" w:color="auto" w:sz="4" w:space="0"/>
              <w:right w:val="single" w:color="auto" w:sz="4" w:space="0"/>
            </w:tcBorders>
            <w:shd w:val="clear" w:color="auto" w:fill="auto"/>
            <w:vAlign w:val="center"/>
          </w:tcPr>
          <w:p w14:paraId="08233DA2">
            <w:pPr>
              <w:pStyle w:val="40"/>
            </w:pPr>
            <w:r>
              <w:t>157.68</w:t>
            </w:r>
          </w:p>
        </w:tc>
        <w:tc>
          <w:tcPr>
            <w:tcW w:w="1100" w:type="dxa"/>
            <w:tcBorders>
              <w:top w:val="nil"/>
              <w:left w:val="nil"/>
              <w:bottom w:val="single" w:color="auto" w:sz="4" w:space="0"/>
              <w:right w:val="single" w:color="auto" w:sz="4" w:space="0"/>
            </w:tcBorders>
            <w:shd w:val="clear" w:color="auto" w:fill="auto"/>
            <w:vAlign w:val="center"/>
          </w:tcPr>
          <w:p w14:paraId="1F4391B9">
            <w:pPr>
              <w:pStyle w:val="40"/>
            </w:pPr>
            <w:r>
              <w:t>110.38</w:t>
            </w:r>
          </w:p>
        </w:tc>
        <w:tc>
          <w:tcPr>
            <w:tcW w:w="1100" w:type="dxa"/>
            <w:tcBorders>
              <w:top w:val="nil"/>
              <w:left w:val="nil"/>
              <w:bottom w:val="single" w:color="auto" w:sz="4" w:space="0"/>
              <w:right w:val="single" w:color="auto" w:sz="4" w:space="0"/>
            </w:tcBorders>
            <w:shd w:val="clear" w:color="auto" w:fill="auto"/>
            <w:vAlign w:val="center"/>
          </w:tcPr>
          <w:p w14:paraId="33824051">
            <w:pPr>
              <w:pStyle w:val="40"/>
            </w:pPr>
            <w:r>
              <w:t>70%</w:t>
            </w:r>
          </w:p>
        </w:tc>
      </w:tr>
      <w:tr w14:paraId="3A1F6062">
        <w:tblPrEx>
          <w:tblCellMar>
            <w:top w:w="0" w:type="dxa"/>
            <w:left w:w="108" w:type="dxa"/>
            <w:bottom w:w="0" w:type="dxa"/>
            <w:right w:w="108" w:type="dxa"/>
          </w:tblCellMar>
        </w:tblPrEx>
        <w:trPr>
          <w:trHeight w:val="345"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14:paraId="19D23F57">
            <w:pPr>
              <w:pStyle w:val="40"/>
            </w:pPr>
            <w:r>
              <w:rPr>
                <w:rFonts w:hint="eastAsia"/>
              </w:rPr>
              <w:t>苏家屯区</w:t>
            </w:r>
          </w:p>
        </w:tc>
        <w:tc>
          <w:tcPr>
            <w:tcW w:w="1400" w:type="dxa"/>
            <w:tcBorders>
              <w:top w:val="nil"/>
              <w:left w:val="nil"/>
              <w:bottom w:val="single" w:color="auto" w:sz="4" w:space="0"/>
              <w:right w:val="single" w:color="auto" w:sz="4" w:space="0"/>
            </w:tcBorders>
            <w:shd w:val="clear" w:color="auto" w:fill="auto"/>
            <w:vAlign w:val="center"/>
          </w:tcPr>
          <w:p w14:paraId="7EA78454">
            <w:pPr>
              <w:pStyle w:val="40"/>
            </w:pPr>
            <w:r>
              <w:rPr>
                <w:rFonts w:hint="eastAsia"/>
              </w:rPr>
              <w:t>十三五期间</w:t>
            </w:r>
          </w:p>
        </w:tc>
        <w:tc>
          <w:tcPr>
            <w:tcW w:w="1300" w:type="dxa"/>
            <w:tcBorders>
              <w:top w:val="nil"/>
              <w:left w:val="nil"/>
              <w:bottom w:val="single" w:color="auto" w:sz="4" w:space="0"/>
              <w:right w:val="single" w:color="auto" w:sz="4" w:space="0"/>
            </w:tcBorders>
            <w:shd w:val="clear" w:color="auto" w:fill="auto"/>
            <w:vAlign w:val="center"/>
          </w:tcPr>
          <w:p w14:paraId="7C76CF48">
            <w:pPr>
              <w:pStyle w:val="40"/>
            </w:pPr>
          </w:p>
        </w:tc>
        <w:tc>
          <w:tcPr>
            <w:tcW w:w="1100" w:type="dxa"/>
            <w:tcBorders>
              <w:top w:val="nil"/>
              <w:left w:val="nil"/>
              <w:bottom w:val="single" w:color="auto" w:sz="4" w:space="0"/>
              <w:right w:val="single" w:color="auto" w:sz="4" w:space="0"/>
            </w:tcBorders>
            <w:shd w:val="clear" w:color="auto" w:fill="auto"/>
            <w:vAlign w:val="center"/>
          </w:tcPr>
          <w:p w14:paraId="5EF3CAD9">
            <w:pPr>
              <w:pStyle w:val="40"/>
            </w:pPr>
          </w:p>
        </w:tc>
        <w:tc>
          <w:tcPr>
            <w:tcW w:w="1100" w:type="dxa"/>
            <w:tcBorders>
              <w:top w:val="nil"/>
              <w:left w:val="nil"/>
              <w:bottom w:val="single" w:color="auto" w:sz="4" w:space="0"/>
              <w:right w:val="single" w:color="auto" w:sz="4" w:space="0"/>
            </w:tcBorders>
            <w:shd w:val="clear" w:color="auto" w:fill="auto"/>
            <w:vAlign w:val="center"/>
          </w:tcPr>
          <w:p w14:paraId="3DE4AE17">
            <w:pPr>
              <w:pStyle w:val="40"/>
            </w:pPr>
          </w:p>
        </w:tc>
        <w:tc>
          <w:tcPr>
            <w:tcW w:w="1100" w:type="dxa"/>
            <w:tcBorders>
              <w:top w:val="nil"/>
              <w:left w:val="nil"/>
              <w:bottom w:val="single" w:color="auto" w:sz="4" w:space="0"/>
              <w:right w:val="single" w:color="auto" w:sz="4" w:space="0"/>
            </w:tcBorders>
            <w:shd w:val="clear" w:color="auto" w:fill="auto"/>
            <w:vAlign w:val="center"/>
          </w:tcPr>
          <w:p w14:paraId="2F0D766F">
            <w:pPr>
              <w:pStyle w:val="40"/>
            </w:pPr>
          </w:p>
        </w:tc>
        <w:tc>
          <w:tcPr>
            <w:tcW w:w="1100" w:type="dxa"/>
            <w:tcBorders>
              <w:top w:val="nil"/>
              <w:left w:val="nil"/>
              <w:bottom w:val="single" w:color="auto" w:sz="4" w:space="0"/>
              <w:right w:val="single" w:color="auto" w:sz="4" w:space="0"/>
            </w:tcBorders>
            <w:shd w:val="clear" w:color="auto" w:fill="auto"/>
            <w:vAlign w:val="center"/>
          </w:tcPr>
          <w:p w14:paraId="5047B959">
            <w:pPr>
              <w:pStyle w:val="40"/>
            </w:pPr>
            <w:r>
              <w:t>68</w:t>
            </w:r>
            <w:r>
              <w:rPr>
                <w:rFonts w:hint="eastAsia"/>
              </w:rPr>
              <w:t>余</w:t>
            </w:r>
          </w:p>
        </w:tc>
        <w:tc>
          <w:tcPr>
            <w:tcW w:w="1100" w:type="dxa"/>
            <w:tcBorders>
              <w:top w:val="nil"/>
              <w:left w:val="nil"/>
              <w:bottom w:val="single" w:color="auto" w:sz="4" w:space="0"/>
              <w:right w:val="single" w:color="auto" w:sz="4" w:space="0"/>
            </w:tcBorders>
            <w:shd w:val="clear" w:color="auto" w:fill="auto"/>
            <w:vAlign w:val="center"/>
          </w:tcPr>
          <w:p w14:paraId="5904B99C">
            <w:pPr>
              <w:pStyle w:val="40"/>
            </w:pPr>
          </w:p>
        </w:tc>
      </w:tr>
    </w:tbl>
    <w:p w14:paraId="62D5400D"/>
    <w:p w14:paraId="0AA811A2">
      <w:pPr>
        <w:pStyle w:val="4"/>
        <w:numPr>
          <w:ilvl w:val="2"/>
          <w:numId w:val="10"/>
        </w:numPr>
        <w:spacing w:before="0" w:beforeLines="0"/>
        <w:rPr>
          <w:rFonts w:ascii="楷体" w:hAnsi="楷体" w:eastAsia="楷体"/>
          <w:b w:val="0"/>
          <w:bCs/>
          <w:sz w:val="28"/>
          <w:szCs w:val="28"/>
        </w:rPr>
      </w:pPr>
      <w:r>
        <w:rPr>
          <w:rFonts w:hint="eastAsia" w:ascii="楷体" w:hAnsi="楷体" w:eastAsia="楷体"/>
          <w:b w:val="0"/>
          <w:bCs/>
          <w:sz w:val="28"/>
          <w:szCs w:val="28"/>
        </w:rPr>
        <w:t>沈阳市发展基础研判</w:t>
      </w:r>
    </w:p>
    <w:p w14:paraId="69A20384">
      <w:pPr>
        <w:spacing w:before="156" w:beforeLines="50" w:line="360" w:lineRule="auto"/>
        <w:ind w:firstLine="482"/>
      </w:pPr>
      <w:r>
        <w:rPr>
          <w:b/>
          <w:bCs/>
        </w:rPr>
        <w:t>1</w:t>
      </w:r>
      <w:r>
        <w:rPr>
          <w:rFonts w:hint="eastAsia"/>
          <w:b/>
          <w:bCs/>
        </w:rPr>
        <w:t>、</w:t>
      </w:r>
      <w:r>
        <w:rPr>
          <w:b/>
          <w:bCs/>
        </w:rPr>
        <w:t>基本定位</w:t>
      </w:r>
    </w:p>
    <w:p w14:paraId="374EB664">
      <w:pPr>
        <w:spacing w:before="156" w:beforeLines="50" w:line="360" w:lineRule="auto"/>
      </w:pPr>
      <w:r>
        <w:rPr>
          <w:rFonts w:hint="eastAsia"/>
        </w:rPr>
        <w:t>目前沈阳市的城市发展定位及目标为：建筑产业现代化示范城市（</w:t>
      </w:r>
      <w:r>
        <w:t>2014</w:t>
      </w:r>
      <w:r>
        <w:rPr>
          <w:rFonts w:hint="eastAsia"/>
        </w:rPr>
        <w:t>年）、引领实现东北振兴发展的中心城市（</w:t>
      </w:r>
      <w:r>
        <w:t>2020</w:t>
      </w:r>
      <w:r>
        <w:rPr>
          <w:rFonts w:hint="eastAsia"/>
        </w:rPr>
        <w:t>年）、东北亚地区重要的国际中心城市（</w:t>
      </w:r>
      <w:r>
        <w:t>2030</w:t>
      </w:r>
      <w:r>
        <w:rPr>
          <w:rFonts w:hint="eastAsia"/>
        </w:rPr>
        <w:t>年）、区域中心城市、国家中心城市、沈阳东北亚国际化中心城市、科技创新中心、先进装备智能制造中心、高品质公共服务中心、国家标准化改革创新先行区、国家健康示范城市、健康沈阳、智慧城市、区域制造业创新中心以及国内领先的绿色建筑技术研发基地。</w:t>
      </w:r>
    </w:p>
    <w:p w14:paraId="2DA1F7DA">
      <w:pPr>
        <w:spacing w:before="156" w:beforeLines="50" w:line="360" w:lineRule="auto"/>
        <w:ind w:firstLine="482"/>
      </w:pPr>
      <w:r>
        <w:rPr>
          <w:b/>
          <w:bCs/>
        </w:rPr>
        <w:t>2</w:t>
      </w:r>
      <w:r>
        <w:rPr>
          <w:rFonts w:hint="eastAsia"/>
          <w:b/>
          <w:bCs/>
        </w:rPr>
        <w:t>、</w:t>
      </w:r>
      <w:r>
        <w:rPr>
          <w:b/>
          <w:bCs/>
        </w:rPr>
        <w:t>发展形势</w:t>
      </w:r>
    </w:p>
    <w:p w14:paraId="09CD3FC8">
      <w:pPr>
        <w:spacing w:before="156" w:beforeLines="50" w:line="360" w:lineRule="auto"/>
      </w:pPr>
      <w:r>
        <w:rPr>
          <w:rFonts w:hint="eastAsia"/>
        </w:rPr>
        <w:t>“十四五”时期是我国在全面完成建成小康社会基础上，开启社会主义现代化国家建设新征程的第一个五年，是落实碳达峰与碳中和目标愿景的关键时期，“十四五”规划既是以往五年规划的常规性延续，也面临着新形势、新机遇和新挑战。</w:t>
      </w:r>
    </w:p>
    <w:p w14:paraId="46797AF1">
      <w:pPr>
        <w:spacing w:before="156" w:beforeLines="50" w:line="360" w:lineRule="auto"/>
      </w:pPr>
      <w:r>
        <w:rPr>
          <w:rFonts w:hint="eastAsia"/>
        </w:rPr>
        <w:t>一是从发展方向看，为加快推进生态文明建设，积极主动应对气候变化，推动碳排放尽早达峰并迈向碳中和进程，党中央国务院提出了一系列重要指示，为建筑节能与绿色建筑发展指明了方向。进一步创新工作机制，推进城乡建设领域资源利用高效化、清洁化、低碳化转型升级，推动绿色建筑提质增效，加速建筑工业化水平，将是沈阳市建筑节能和绿色建筑工作未来一段时期的主要发展思路。</w:t>
      </w:r>
    </w:p>
    <w:p w14:paraId="1D772301">
      <w:pPr>
        <w:spacing w:before="156" w:beforeLines="50" w:line="360" w:lineRule="auto"/>
      </w:pPr>
      <w:r>
        <w:rPr>
          <w:rFonts w:hint="eastAsia"/>
        </w:rPr>
        <w:t>二是从发展潜力看，习近平总书记向全世界郑重承诺，中国将提高国家自主贡献力度，采取更加有力的政策和措施，二氧化碳排放力争于</w:t>
      </w:r>
      <w:r>
        <w:t>2030年前达到峰值，努力争取2060年前实现碳中和。同时，《中华人民共和国国民经济和社会发展第十四个五年规划和2035年远景目标纲要》提出更强有力的碳排放控制目标，并明确提出“发展绿色建筑”的要求。中央财经委员会第九次会议指出，“十四五”是碳达峰的关键时期，要构建清洁低碳安全高效的能源体系，控制化石能源总量，着力提高利用效能，实施可再生能源替代行动，并对建筑领域提出了进一步提升节能标准的</w:t>
      </w:r>
      <w:r>
        <w:rPr>
          <w:rFonts w:hint="eastAsia"/>
        </w:rPr>
        <w:t>要求。建筑行业作为碳排放重点领域，沈阳市应加快推动城乡建设领域低碳转型，强化增量建筑管控，改善存量建筑品质，优化建筑用能结构，为沈阳市建筑能耗总量与强度逐步下降、建筑碳排放控制目标做出贡献。</w:t>
      </w:r>
    </w:p>
    <w:p w14:paraId="1343A41B">
      <w:pPr>
        <w:spacing w:before="156" w:beforeLines="50" w:line="360" w:lineRule="auto"/>
      </w:pPr>
      <w:r>
        <w:rPr>
          <w:rFonts w:hint="eastAsia"/>
        </w:rPr>
        <w:t>三是从发展机遇看，</w:t>
      </w:r>
      <w:r>
        <w:t>2015年，党中央、国务院作出实施东北地区等老工业基地振兴战略的重大决策，以</w:t>
      </w:r>
      <w:r>
        <w:rPr>
          <w:rFonts w:hint="eastAsia"/>
          <w:lang w:eastAsia="zh-CN"/>
        </w:rPr>
        <w:t>习近平同志为核心的党中央</w:t>
      </w:r>
      <w:r>
        <w:t>高度重视东北老工业基地振兴发展。沈阳市作为东北地区龙头城市，地位举足轻重，事关东北全面振兴的大局。在国内国际双循环相互促进的新发展格局下，沈阳市应及时抓住这一历史机遇，转变城乡建设领域发展思路，推进绿色建筑市场转型升级，积极探索绿色建筑、智能建造与新型建筑工业化协同发展路径，推行“装配式+超低能耗+健康性能”绿色建筑体系，打造绿色建筑产业高地、钢结构等装配式示范产业基地，培育一批优质企业，</w:t>
      </w:r>
      <w:r>
        <w:rPr>
          <w:rFonts w:hint="eastAsia"/>
        </w:rPr>
        <w:t>提供更加注重消费者和使用者体验感的绿色建筑产品，扩大市场需求，激发市场活力。</w:t>
      </w:r>
    </w:p>
    <w:p w14:paraId="633C3794">
      <w:pPr>
        <w:spacing w:before="156" w:beforeLines="50" w:line="360" w:lineRule="auto"/>
      </w:pPr>
      <w:r>
        <w:rPr>
          <w:rFonts w:hint="eastAsia"/>
        </w:rPr>
        <w:t>四是从发展挑战看，沈阳市的城镇化进程处于窗口期，建筑总量仍将持续增长；经济发展处于转型期，主要依托建筑提供服务场所的第三产业将快速发展；人民群众生活水平处于提升期，对建筑的居住品质、舒适度、环境健康性能等要求不断提高，建筑用能需求仍较为强烈。这些因素对沈阳市建筑用能与碳排放控制带来了较大的挑战，也对做好建筑节能和绿色建筑发展工作提出了更高要求。</w:t>
      </w:r>
    </w:p>
    <w:p w14:paraId="0AEC9223">
      <w:pPr>
        <w:spacing w:before="156" w:beforeLines="50" w:line="360" w:lineRule="auto"/>
        <w:ind w:firstLine="482"/>
      </w:pPr>
      <w:r>
        <w:rPr>
          <w:rFonts w:hint="eastAsia"/>
          <w:b/>
          <w:bCs/>
        </w:rPr>
        <w:t>3、</w:t>
      </w:r>
      <w:r>
        <w:rPr>
          <w:b/>
          <w:bCs/>
        </w:rPr>
        <w:t>发展现状</w:t>
      </w:r>
    </w:p>
    <w:p w14:paraId="2A4BD8E4">
      <w:pPr>
        <w:spacing w:line="360" w:lineRule="auto"/>
      </w:pPr>
      <w:r>
        <w:rPr>
          <w:rFonts w:hint="eastAsia"/>
        </w:rPr>
        <w:t>作为我国重要的老工业基地，“十三五”以来，沈阳市深入贯彻国家、省建筑节能和绿色建筑法规政策精神，大力发展建筑节能和绿色建筑，统筹推动建设领域节能、节地、节水、节材和环境保护协调发展，健全完善绿色建筑技术标准体系，严格执行标准，以点带面组织示范工程建设，创新体制机制，全面推进沈阳市建筑节能绿色建筑事业发展。</w:t>
      </w:r>
    </w:p>
    <w:p w14:paraId="37C55C82">
      <w:pPr>
        <w:spacing w:line="360" w:lineRule="auto"/>
        <w:ind w:firstLine="482"/>
      </w:pPr>
      <w:r>
        <w:rPr>
          <w:rFonts w:hint="eastAsia"/>
          <w:b/>
          <w:bCs/>
        </w:rPr>
        <w:t>（1）建筑节能方面</w:t>
      </w:r>
      <w:r>
        <w:rPr>
          <w:rFonts w:hint="eastAsia"/>
        </w:rPr>
        <w:t>，</w:t>
      </w:r>
      <w:r>
        <w:rPr>
          <w:rFonts w:ascii="Times New Roman" w:hAnsi="Times New Roman"/>
          <w:b/>
          <w:bCs/>
        </w:rPr>
        <w:t>新建建筑能效水平显著提升。</w:t>
      </w:r>
      <w:r>
        <w:rPr>
          <w:rFonts w:hint="eastAsia"/>
        </w:rPr>
        <w:t>一是进一步推动新建民用建筑能效提升，城镇居住建筑执行节能标准从</w:t>
      </w:r>
      <w:r>
        <w:t>65%提高到75%，自2019年12月31日起下发建筑工程规划许可证的居住建筑项目均按75%节能标准进行设计、施工图审查。二是严格控制建筑节能标准执行质量，推行建筑节能全过程监管模式，组织各施工图审查单位对标准执行情况进行自查和抽查，对不符合节能标准的设计文件进行限期整改。三是组织编制了《沈阳市工业建筑节能设计标准》《沈阳市建筑节能外墙外保温系统标准应用设计指南》《沈阳市民用建筑节能设计文件编制深度规定》等标准规范，进一步健全了沈阳市建筑节能标准</w:t>
      </w:r>
      <w:r>
        <w:rPr>
          <w:rFonts w:hint="eastAsia"/>
        </w:rPr>
        <w:t>体系。“十三五”期间，沈阳市全面执行民用建筑节能强制性标准，城镇新建民用建筑设计阶段和竣工验收阶段执行节能强制性标准比例均达到</w:t>
      </w:r>
      <w:r>
        <w:t>100%</w:t>
      </w:r>
      <w:r>
        <w:rPr>
          <w:rFonts w:hint="eastAsia"/>
        </w:rPr>
        <w:t>。</w:t>
      </w:r>
    </w:p>
    <w:p w14:paraId="22C9E7E4">
      <w:pPr>
        <w:spacing w:line="360" w:lineRule="auto"/>
        <w:ind w:firstLine="482"/>
      </w:pPr>
      <w:r>
        <w:rPr>
          <w:rFonts w:hint="eastAsia"/>
          <w:b/>
          <w:bCs/>
        </w:rPr>
        <w:t>（</w:t>
      </w:r>
      <w:r>
        <w:rPr>
          <w:b/>
          <w:bCs/>
        </w:rPr>
        <w:t>2</w:t>
      </w:r>
      <w:r>
        <w:rPr>
          <w:rFonts w:hint="eastAsia"/>
          <w:b/>
          <w:bCs/>
        </w:rPr>
        <w:t>）</w:t>
      </w:r>
      <w:r>
        <w:rPr>
          <w:rFonts w:cs="仿宋"/>
          <w:b/>
          <w:bCs/>
        </w:rPr>
        <w:t>绿色建筑方面，</w:t>
      </w:r>
      <w:r>
        <w:rPr>
          <w:rFonts w:hint="eastAsia" w:cs="仿宋"/>
          <w:bCs/>
        </w:rPr>
        <w:t>“十三五”期间，沈阳市持续加强绿色建筑的推广力度，着力提升绿色建筑发展品质。一是逐步建立健全绿色建筑标准体系，</w:t>
      </w:r>
      <w:r>
        <w:rPr>
          <w:rFonts w:cs="仿宋"/>
          <w:bCs/>
        </w:rPr>
        <w:t>2016年制定实行《沈阳市绿色建筑设计施工图审查技术要求（试行）》并于2020年进行修订，2017年颁布实施《沈阳市公共建筑绿色设计标准》，2019年颁布实施《沈阳市住宅建筑绿色设计标准》，2020年根据新的国家绿色建筑评价标准修订《沈阳市绿色建筑评价标准》。二是进一步加强绿色建筑标准执行力度，自2020年起，沈阳市将绿色建筑条件纳入土地出让环节，增加了绿色建筑指标要求，引导房地产开发项目执行绿色建</w:t>
      </w:r>
      <w:r>
        <w:rPr>
          <w:rFonts w:hint="eastAsia" w:cs="仿宋"/>
          <w:bCs/>
        </w:rPr>
        <w:t>筑标准。三是创新工作机制，实行绿色建筑绩效考核，将绿色建筑工作纳入市政府年度节能减排目标任务并分解至各区县，要求各区县政府严格落实，对完成情况进行绩效考核，有力地推动了城镇新建民用建筑中绿色建筑建设规模的扩大。“十三五”期间，沈阳市城镇新增绿色建筑面积</w:t>
      </w:r>
      <w:r>
        <w:rPr>
          <w:rFonts w:cs="仿宋"/>
          <w:bCs/>
        </w:rPr>
        <w:t>5794.04万平方米，截至2020年底，全市已累计建成绿色建筑总面积6239.55万平方米，当年绿色建筑占城镇新建民用建筑比例达到83.67%，逐步实现了绿色建筑的规模化发展。通过以点带面，沈阳市进一步推进绿色建筑示范工程建设，“十三五”期间全市完成绿色建筑</w:t>
      </w:r>
      <w:r>
        <w:rPr>
          <w:rFonts w:hint="eastAsia" w:cs="仿宋"/>
          <w:bCs/>
        </w:rPr>
        <w:t>示范工程项目</w:t>
      </w:r>
      <w:r>
        <w:rPr>
          <w:rFonts w:cs="仿宋"/>
          <w:bCs/>
        </w:rPr>
        <w:t>47项，总建筑面积971.5万平方米，培育出沈阳新世界花园住宅二期C区、中海望京府住宅项目、沈阳华润八号院二期项目等一批科技含量高、节能减排效果显著的绿色建筑，起到了良好的示范带头作用。截至2020年，全市累计完成绿色建筑示范工程119项，总建筑面积1869.19万平方米。</w:t>
      </w:r>
    </w:p>
    <w:p w14:paraId="20B05AA6">
      <w:pPr>
        <w:spacing w:line="360" w:lineRule="auto"/>
        <w:ind w:firstLine="482"/>
      </w:pPr>
      <w:r>
        <w:rPr>
          <w:rFonts w:hint="eastAsia"/>
          <w:b/>
          <w:bCs/>
        </w:rPr>
        <w:t>（</w:t>
      </w:r>
      <w:r>
        <w:rPr>
          <w:b/>
          <w:bCs/>
        </w:rPr>
        <w:t>3</w:t>
      </w:r>
      <w:r>
        <w:rPr>
          <w:rFonts w:hint="eastAsia"/>
          <w:b/>
          <w:bCs/>
        </w:rPr>
        <w:t>）</w:t>
      </w:r>
      <w:r>
        <w:rPr>
          <w:rFonts w:hint="eastAsia"/>
          <w:b/>
        </w:rPr>
        <w:t>大型公共建筑节能监管有序推进。</w:t>
      </w:r>
      <w:r>
        <w:rPr>
          <w:rFonts w:hint="eastAsia"/>
        </w:rPr>
        <w:t>“十三五”期间，沈阳市积极推动既有公共建筑节能改造，推行合同能源管理等方式进行市场化节能改造。进一步完善国家机关办公建筑和大型公共建筑节能监管体系建设工作，已建成市级国家机关办公建筑和大型公共建筑的能耗监测数据中心，完成</w:t>
      </w:r>
      <w:r>
        <w:t>62栋共223.5万平方米的国家机关办公建筑和大型公共建筑能耗监测工作，并上传至省级监测平台。</w:t>
      </w:r>
      <w:r>
        <w:rPr>
          <w:rFonts w:hint="eastAsia"/>
        </w:rPr>
        <w:t>既有建筑节能改造稳步进行。“十三五”期间，沈阳市累计改造棚户区</w:t>
      </w:r>
      <w:r>
        <w:t>68229户、农村危房11391户、老旧小区950个。2018年，沈阳市被住房和城乡建设部列为首批15个老旧小区改造试点城市，出台《沈阳居民小区改造提质三年行动计划2018-2020年》，按照“精准规划、精致建设、精细管理”要求，着力提升“暖房子”工程质量，将“暖房子”工程做成让老百姓满意的“民生工程”、“暖心工程”。沈阳市在改善城镇居民采暖和居住条件的基础上，逐步实现了节能、环保和经济等综合效益的提升，为下一步既有建筑绿色化改造的推行奠定了基础</w:t>
      </w:r>
      <w:r>
        <w:rPr>
          <w:rFonts w:hint="eastAsia"/>
        </w:rPr>
        <w:t>。</w:t>
      </w:r>
    </w:p>
    <w:p w14:paraId="0E692DB3">
      <w:pPr>
        <w:spacing w:line="360" w:lineRule="auto"/>
        <w:ind w:firstLine="482"/>
      </w:pPr>
      <w:r>
        <w:rPr>
          <w:rFonts w:hint="eastAsia"/>
          <w:b/>
          <w:bCs/>
        </w:rPr>
        <w:t>（</w:t>
      </w:r>
      <w:r>
        <w:rPr>
          <w:b/>
          <w:bCs/>
        </w:rPr>
        <w:t>4</w:t>
      </w:r>
      <w:r>
        <w:rPr>
          <w:rFonts w:hint="eastAsia"/>
          <w:b/>
          <w:bCs/>
        </w:rPr>
        <w:t>）</w:t>
      </w:r>
      <w:r>
        <w:rPr>
          <w:rFonts w:hint="eastAsia"/>
          <w:b/>
        </w:rPr>
        <w:t>可再生能源推广与清洁取暖成效显著。</w:t>
      </w:r>
      <w:r>
        <w:rPr>
          <w:rFonts w:hint="eastAsia"/>
        </w:rPr>
        <w:t>“十三五”期间，沈阳市着力提高清洁和可再生能源利用规模，通过利用地（水）源热泵、污水源、生物质能等可再生能源，加快推动建筑用能结构向清洁化转型。截至</w:t>
      </w:r>
      <w:r>
        <w:t>2020年，地热资源利用方面，沈阳市已有34个地源热泵供热企业，主要为沈阳市建成区内提供清洁供热，总供热面积为1045万平方米；污水资源利用方面，沈阳市实施污水源热泵供暖490万平方米；生物质能利用方面，实现供热面积约40万平方米；在太阳能资源利用方面，沈阳市因地制宜扩大太阳能资源利用规模。此外，沈阳市还积极加快城乡燃气协调发展</w:t>
      </w:r>
      <w:r>
        <w:rPr>
          <w:rFonts w:hint="eastAsia"/>
        </w:rPr>
        <w:t>，引导城乡居民改变生活习惯，在有条件的地区实施天然气下乡工程，推进农村居民清洁取暖，推广使用燃气壁挂炉等。</w:t>
      </w:r>
    </w:p>
    <w:p w14:paraId="4463EFBE">
      <w:pPr>
        <w:spacing w:line="360" w:lineRule="auto"/>
        <w:ind w:firstLine="482"/>
      </w:pPr>
      <w:r>
        <w:rPr>
          <w:rFonts w:hint="eastAsia"/>
          <w:b/>
          <w:bCs/>
        </w:rPr>
        <w:t>（</w:t>
      </w:r>
      <w:r>
        <w:rPr>
          <w:b/>
          <w:bCs/>
        </w:rPr>
        <w:t>5</w:t>
      </w:r>
      <w:r>
        <w:rPr>
          <w:rFonts w:hint="eastAsia"/>
          <w:b/>
          <w:bCs/>
        </w:rPr>
        <w:t>）</w:t>
      </w:r>
      <w:r>
        <w:rPr>
          <w:rFonts w:hint="eastAsia"/>
          <w:b/>
        </w:rPr>
        <w:t>装配式建筑快速发展。</w:t>
      </w:r>
      <w:r>
        <w:rPr>
          <w:rFonts w:hint="eastAsia"/>
        </w:rPr>
        <w:t>“十三五”期间，沈阳市持续加大装配式建筑的推广力度，制定装配式建筑相关发展规划，出台一系列配套优惠政策，积极开展试点示范，加快装配式建筑产业链培育，推动装配式建筑企业一体化发展，已经形成了较为健全的装配式建筑标准体系、技术体系、产品体系。</w:t>
      </w:r>
      <w:r>
        <w:t>2017年，沈阳市将现代建筑产业列入“千亿元产业链发展规划”，沈阳市也被列入全国首批装配式建筑示范城市名单。2018年出台《沈阳市大力发展装配式建筑工作方案》，提出“力争通过3年时间，使装配式建筑成为主要建造方式，建筑产业配套更加齐全，成为沈阳市重要支柱</w:t>
      </w:r>
      <w:r>
        <w:rPr>
          <w:rFonts w:hint="eastAsia"/>
        </w:rPr>
        <w:t>产业，为沈阳市国家中心城市建设提供有力支撑”。</w:t>
      </w:r>
      <w:r>
        <w:t>2020年5月印发《关于促进沈阳市建筑业持续健康发展的意见》，进一步提出加大装配式建筑推广应用，鼓励装配式生产企业向“生产-施工”一体化发展。“十三五”期间，沈阳市共落实装配式建筑项目2954万平方米，累计推广装配式建筑面积达2721万平方米，截至2020年，装配化率≥40%的装配式建筑建设规模相较2015年翻一番，装配式建筑占城镇新建建筑的比例持续上升，当年装配式建筑建设面积占城镇新建建筑比例达55%，培育形成6个国家级装配式建筑产业示范基地，培育省级装配式建</w:t>
      </w:r>
      <w:r>
        <w:rPr>
          <w:rFonts w:hint="eastAsia"/>
        </w:rPr>
        <w:t>筑产业示范基地</w:t>
      </w:r>
      <w:r>
        <w:t>13个。</w:t>
      </w:r>
    </w:p>
    <w:p w14:paraId="21D2F9A1">
      <w:pPr>
        <w:spacing w:line="360" w:lineRule="auto"/>
        <w:ind w:firstLine="482"/>
      </w:pPr>
      <w:r>
        <w:rPr>
          <w:rFonts w:hint="eastAsia"/>
          <w:b/>
          <w:bCs/>
        </w:rPr>
        <w:t>（</w:t>
      </w:r>
      <w:r>
        <w:rPr>
          <w:b/>
          <w:bCs/>
        </w:rPr>
        <w:t>6</w:t>
      </w:r>
      <w:r>
        <w:rPr>
          <w:rFonts w:hint="eastAsia"/>
          <w:b/>
          <w:bCs/>
        </w:rPr>
        <w:t>）</w:t>
      </w:r>
      <w:r>
        <w:rPr>
          <w:rFonts w:hint="eastAsia"/>
          <w:b/>
        </w:rPr>
        <w:t>绿色建材产业支撑能力不断增强。</w:t>
      </w:r>
      <w:r>
        <w:rPr>
          <w:rFonts w:hint="eastAsia"/>
        </w:rPr>
        <w:t>“十三五”期间，沈阳市积极推进绿色建材发展，推动适用于装配式建筑、绿色建筑建设需求的高效保温材料、新型墙体材料、高效节能门窗、保温装饰一体化复合墙板、预拌砂浆等绿色建材和部品的研发、生产及推广应用，绿色建材生产能力与产品质量不断提升。实施绿色建材信息化管理和推荐目录管理，编制《绿色节能建材推荐目录》，积极引导全市建筑工程应用绿色建材，目前，已组织开展包括砌体材料、保温材料、预拌混凝土类、超声波热量表、混凝土路面砖、装配式内隔墙板等品类多个批次的《绿色节能建材推荐目录》。</w:t>
      </w:r>
      <w:r>
        <w:t>2018</w:t>
      </w:r>
      <w:r>
        <w:rPr>
          <w:rFonts w:hint="eastAsia"/>
        </w:rPr>
        <w:t>年、</w:t>
      </w:r>
      <w:r>
        <w:t>2019年分别将123家建材生产企业的454个建材产品、34家企业129个建材产品纳入建设工程材料数据库管理，为构建绿色建材选用机制、实现产品质量可追溯奠定基础。同时，进一步提升绿色建材产业支撑能力，积极引导东方雨虹等绿色建材生产企业投资建设绿色建材生产基地项目，丰富绿色建材产品品类，扩大绿色建材生产规模，实现产品结构的优化升级。</w:t>
      </w:r>
    </w:p>
    <w:p w14:paraId="1CB51FA1">
      <w:pPr>
        <w:spacing w:line="360" w:lineRule="auto"/>
        <w:ind w:firstLine="482"/>
      </w:pPr>
      <w:r>
        <w:rPr>
          <w:rFonts w:hint="eastAsia"/>
          <w:b/>
          <w:bCs/>
        </w:rPr>
        <w:t>（</w:t>
      </w:r>
      <w:r>
        <w:rPr>
          <w:b/>
          <w:bCs/>
        </w:rPr>
        <w:t>7</w:t>
      </w:r>
      <w:r>
        <w:rPr>
          <w:rFonts w:hint="eastAsia"/>
          <w:b/>
          <w:bCs/>
        </w:rPr>
        <w:t>）</w:t>
      </w:r>
      <w:r>
        <w:rPr>
          <w:rFonts w:hint="eastAsia"/>
          <w:b/>
        </w:rPr>
        <w:t>建筑绿色化技术创新机制不断完善。</w:t>
      </w:r>
      <w:r>
        <w:rPr>
          <w:rFonts w:hint="eastAsia"/>
        </w:rPr>
        <w:t>为建设成为区域制造业创新中心以及国内领先的绿色建筑技术研发基地，沈阳市依托中辰钢构钢结构研发检测公共服务中心、省钢结构住宅产业化工程研究中心、省钢结构工程技术中心，联合辽宁省（沈阳）现代建筑产业技术创新战略联盟成员，积极争取国家、省级相关政策支持，构建面向全球的协同创新网路。</w:t>
      </w:r>
    </w:p>
    <w:p w14:paraId="3EF55ED6">
      <w:pPr>
        <w:spacing w:line="360" w:lineRule="auto"/>
        <w:ind w:firstLine="482"/>
      </w:pPr>
      <w:r>
        <w:rPr>
          <w:rFonts w:hint="eastAsia"/>
          <w:b/>
          <w:bCs/>
        </w:rPr>
        <w:t>（</w:t>
      </w:r>
      <w:r>
        <w:rPr>
          <w:b/>
          <w:bCs/>
        </w:rPr>
        <w:t>8</w:t>
      </w:r>
      <w:r>
        <w:rPr>
          <w:rFonts w:hint="eastAsia"/>
          <w:b/>
          <w:bCs/>
        </w:rPr>
        <w:t>）</w:t>
      </w:r>
      <w:r>
        <w:rPr>
          <w:rFonts w:hint="eastAsia"/>
          <w:b/>
        </w:rPr>
        <w:t>绿色农房建设逐步开展。</w:t>
      </w:r>
      <w:r>
        <w:rPr>
          <w:rFonts w:hint="eastAsia"/>
        </w:rPr>
        <w:t>编制《装配式钢结构绿色农房建设技术导则》（试行），建设绿色农房技术展示、农业科普、党建宣传等功能于一体的乡村驿站示范，装配率实现</w:t>
      </w:r>
      <w:r>
        <w:t>30%以上，建筑节能率达到城镇居住建筑75%以上水平。示范项目对沈阳市绿色农房建设有序开展和推进起到引导和推广作用。</w:t>
      </w:r>
    </w:p>
    <w:p w14:paraId="1776DB44">
      <w:pPr>
        <w:spacing w:line="360" w:lineRule="auto"/>
        <w:ind w:firstLine="482"/>
      </w:pPr>
      <w:r>
        <w:rPr>
          <w:rFonts w:hint="eastAsia"/>
          <w:b/>
          <w:bCs/>
        </w:rPr>
        <w:t>（</w:t>
      </w:r>
      <w:r>
        <w:rPr>
          <w:b/>
          <w:bCs/>
        </w:rPr>
        <w:t>9</w:t>
      </w:r>
      <w:r>
        <w:rPr>
          <w:rFonts w:hint="eastAsia"/>
          <w:b/>
          <w:bCs/>
        </w:rPr>
        <w:t>）</w:t>
      </w:r>
      <w:r>
        <w:rPr>
          <w:rFonts w:hint="eastAsia"/>
          <w:b/>
        </w:rPr>
        <w:t>建筑用能与碳排放方面，</w:t>
      </w:r>
      <w:r>
        <w:rPr>
          <w:rFonts w:hint="eastAsia"/>
        </w:rPr>
        <w:t>基于《中国国家统计年鉴》《中国能源统计年鉴》《中国城乡建设统计年鉴》《沈阳市统计年鉴》《沈阳统计手册》等国家公开数据，根据沈阳市城乡建设局提供的建筑领域相关用能数据，本研究测算，</w:t>
      </w:r>
    </w:p>
    <w:p w14:paraId="1D73B06C">
      <w:pPr>
        <w:spacing w:line="360" w:lineRule="auto"/>
      </w:pPr>
      <w:r>
        <w:t>2015</w:t>
      </w:r>
      <w:r>
        <w:rPr>
          <w:rFonts w:hint="eastAsia"/>
        </w:rPr>
        <w:t>年，沈阳市建筑总能耗</w:t>
      </w:r>
      <w:r>
        <w:t>1148</w:t>
      </w:r>
      <w:r>
        <w:rPr>
          <w:rFonts w:hint="eastAsia"/>
        </w:rPr>
        <w:t>万吨标准煤，建筑总碳排放</w:t>
      </w:r>
      <w:r>
        <w:t>2610</w:t>
      </w:r>
      <w:r>
        <w:rPr>
          <w:rFonts w:hint="eastAsia"/>
        </w:rPr>
        <w:t>万吨，其中：</w:t>
      </w:r>
    </w:p>
    <w:p w14:paraId="60C77D58">
      <w:pPr>
        <w:pStyle w:val="42"/>
        <w:numPr>
          <w:ilvl w:val="0"/>
          <w:numId w:val="11"/>
        </w:numPr>
        <w:spacing w:line="360" w:lineRule="auto"/>
        <w:ind w:firstLineChars="0"/>
      </w:pPr>
      <w:r>
        <w:rPr>
          <w:rFonts w:hint="eastAsia"/>
        </w:rPr>
        <w:t>公共建筑用能</w:t>
      </w:r>
      <w:r>
        <w:t>393</w:t>
      </w:r>
      <w:r>
        <w:rPr>
          <w:rFonts w:hint="eastAsia"/>
        </w:rPr>
        <w:t>万吨标准煤，排放二氧化碳</w:t>
      </w:r>
      <w:r>
        <w:t>900</w:t>
      </w:r>
      <w:r>
        <w:rPr>
          <w:rFonts w:hint="eastAsia"/>
        </w:rPr>
        <w:t>万吨；</w:t>
      </w:r>
    </w:p>
    <w:p w14:paraId="0202BE53">
      <w:pPr>
        <w:pStyle w:val="42"/>
        <w:numPr>
          <w:ilvl w:val="0"/>
          <w:numId w:val="11"/>
        </w:numPr>
        <w:spacing w:line="360" w:lineRule="auto"/>
        <w:ind w:firstLineChars="0"/>
      </w:pPr>
      <w:r>
        <w:rPr>
          <w:rFonts w:hint="eastAsia"/>
        </w:rPr>
        <w:t>城镇居住建筑用能</w:t>
      </w:r>
      <w:r>
        <w:t>644</w:t>
      </w:r>
      <w:r>
        <w:rPr>
          <w:rFonts w:hint="eastAsia"/>
        </w:rPr>
        <w:t>万吨标准煤，排放二氧化碳</w:t>
      </w:r>
      <w:r>
        <w:t>1473</w:t>
      </w:r>
      <w:r>
        <w:rPr>
          <w:rFonts w:hint="eastAsia"/>
        </w:rPr>
        <w:t>万吨；</w:t>
      </w:r>
    </w:p>
    <w:p w14:paraId="7026D3D9">
      <w:pPr>
        <w:pStyle w:val="42"/>
        <w:numPr>
          <w:ilvl w:val="0"/>
          <w:numId w:val="11"/>
        </w:numPr>
        <w:spacing w:line="360" w:lineRule="auto"/>
        <w:ind w:firstLineChars="0"/>
      </w:pPr>
      <w:r>
        <w:rPr>
          <w:rFonts w:hint="eastAsia"/>
        </w:rPr>
        <w:t>农村居住建筑用能</w:t>
      </w:r>
      <w:r>
        <w:t>111</w:t>
      </w:r>
      <w:r>
        <w:rPr>
          <w:rFonts w:hint="eastAsia"/>
        </w:rPr>
        <w:t>万吨标准煤；排放二氧化碳</w:t>
      </w:r>
      <w:r>
        <w:t>237</w:t>
      </w:r>
      <w:r>
        <w:rPr>
          <w:rFonts w:hint="eastAsia"/>
        </w:rPr>
        <w:t>万吨。</w:t>
      </w:r>
    </w:p>
    <w:p w14:paraId="066FFBFE">
      <w:pPr>
        <w:spacing w:line="360" w:lineRule="auto"/>
      </w:pPr>
      <w:r>
        <w:rPr>
          <w:rFonts w:hint="eastAsia"/>
        </w:rPr>
        <w:t>截至</w:t>
      </w:r>
      <w:r>
        <w:t>2019</w:t>
      </w:r>
      <w:r>
        <w:rPr>
          <w:rFonts w:hint="eastAsia"/>
        </w:rPr>
        <w:t>年，建筑总能耗</w:t>
      </w:r>
      <w:r>
        <w:t>1494</w:t>
      </w:r>
      <w:r>
        <w:rPr>
          <w:rFonts w:hint="eastAsia"/>
        </w:rPr>
        <w:t>万吨标准煤，建筑总碳排放</w:t>
      </w:r>
      <w:r>
        <w:t>3393</w:t>
      </w:r>
      <w:r>
        <w:rPr>
          <w:rFonts w:hint="eastAsia"/>
        </w:rPr>
        <w:t>万吨：</w:t>
      </w:r>
    </w:p>
    <w:p w14:paraId="42F48CCE">
      <w:pPr>
        <w:pStyle w:val="42"/>
        <w:numPr>
          <w:ilvl w:val="0"/>
          <w:numId w:val="12"/>
        </w:numPr>
        <w:spacing w:line="360" w:lineRule="auto"/>
        <w:ind w:firstLineChars="0"/>
      </w:pPr>
      <w:r>
        <w:rPr>
          <w:rFonts w:hint="eastAsia"/>
        </w:rPr>
        <w:t>公共建筑用能</w:t>
      </w:r>
      <w:r>
        <w:t>513</w:t>
      </w:r>
      <w:r>
        <w:rPr>
          <w:rFonts w:hint="eastAsia"/>
        </w:rPr>
        <w:t>万吨标准煤，排放二氧化碳</w:t>
      </w:r>
      <w:r>
        <w:t>1173</w:t>
      </w:r>
      <w:r>
        <w:rPr>
          <w:rFonts w:hint="eastAsia"/>
        </w:rPr>
        <w:t>万吨；</w:t>
      </w:r>
    </w:p>
    <w:p w14:paraId="2A587B02">
      <w:pPr>
        <w:pStyle w:val="42"/>
        <w:numPr>
          <w:ilvl w:val="0"/>
          <w:numId w:val="12"/>
        </w:numPr>
        <w:spacing w:line="360" w:lineRule="auto"/>
        <w:ind w:firstLineChars="0"/>
      </w:pPr>
      <w:r>
        <w:rPr>
          <w:rFonts w:hint="eastAsia"/>
        </w:rPr>
        <w:t>城镇居住建筑用能</w:t>
      </w:r>
      <w:r>
        <w:t>840</w:t>
      </w:r>
      <w:r>
        <w:rPr>
          <w:rFonts w:hint="eastAsia"/>
        </w:rPr>
        <w:t>万吨标准煤，排放二氧化碳</w:t>
      </w:r>
      <w:r>
        <w:t>1921</w:t>
      </w:r>
      <w:r>
        <w:rPr>
          <w:rFonts w:hint="eastAsia"/>
        </w:rPr>
        <w:t>万吨；</w:t>
      </w:r>
    </w:p>
    <w:p w14:paraId="1621309C">
      <w:pPr>
        <w:pStyle w:val="42"/>
        <w:numPr>
          <w:ilvl w:val="0"/>
          <w:numId w:val="12"/>
        </w:numPr>
        <w:spacing w:after="156" w:afterLines="50" w:line="360" w:lineRule="auto"/>
        <w:ind w:left="902" w:firstLineChars="0"/>
      </w:pPr>
      <w:r>
        <w:rPr>
          <w:rFonts w:hint="eastAsia"/>
        </w:rPr>
        <w:t>农村居住建筑用能</w:t>
      </w:r>
      <w:r>
        <w:t>141</w:t>
      </w:r>
      <w:r>
        <w:rPr>
          <w:rFonts w:hint="eastAsia"/>
        </w:rPr>
        <w:t>万吨标准煤。排放二氧化碳</w:t>
      </w:r>
      <w:r>
        <w:t>299</w:t>
      </w:r>
      <w:r>
        <w:rPr>
          <w:rFonts w:hint="eastAsia"/>
        </w:rPr>
        <w:t>万吨。</w:t>
      </w:r>
    </w:p>
    <w:p w14:paraId="2BA5E23E">
      <w:pPr>
        <w:jc w:val="center"/>
        <w:rPr>
          <w:b/>
          <w:bCs/>
        </w:rPr>
      </w:pPr>
      <w:r>
        <w:drawing>
          <wp:inline distT="0" distB="0" distL="0" distR="0">
            <wp:extent cx="3180715" cy="2534285"/>
            <wp:effectExtent l="0" t="0" r="635" b="184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00BDF70">
      <w:r>
        <w:t>图3-</w:t>
      </w:r>
      <w:r>
        <w:fldChar w:fldCharType="begin"/>
      </w:r>
      <w:r>
        <w:instrText xml:space="preserve"> SEQ 图3- \* ARABIC </w:instrText>
      </w:r>
      <w:r>
        <w:fldChar w:fldCharType="separate"/>
      </w:r>
      <w:r>
        <w:t>10</w:t>
      </w:r>
      <w:r>
        <w:fldChar w:fldCharType="end"/>
      </w:r>
      <w:r>
        <w:t xml:space="preserve"> </w:t>
      </w:r>
      <w:r>
        <w:rPr>
          <w:rFonts w:hint="eastAsia"/>
        </w:rPr>
        <w:t>2</w:t>
      </w:r>
      <w:r>
        <w:t>015</w:t>
      </w:r>
      <w:r>
        <w:rPr>
          <w:rFonts w:hint="eastAsia"/>
        </w:rPr>
        <w:t>年沈阳市建筑用能情况</w:t>
      </w:r>
    </w:p>
    <w:p w14:paraId="06958B98">
      <w:pPr>
        <w:jc w:val="center"/>
        <w:rPr>
          <w:b/>
          <w:bCs/>
        </w:rPr>
      </w:pPr>
      <w:r>
        <w:drawing>
          <wp:inline distT="0" distB="0" distL="0" distR="0">
            <wp:extent cx="3249930" cy="2564130"/>
            <wp:effectExtent l="0" t="0" r="7620" b="76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37539A4">
      <w:r>
        <w:t>图3-</w:t>
      </w:r>
      <w:r>
        <w:fldChar w:fldCharType="begin"/>
      </w:r>
      <w:r>
        <w:instrText xml:space="preserve"> SEQ 图3- \* ARABIC </w:instrText>
      </w:r>
      <w:r>
        <w:fldChar w:fldCharType="separate"/>
      </w:r>
      <w:r>
        <w:t>11</w:t>
      </w:r>
      <w:r>
        <w:fldChar w:fldCharType="end"/>
      </w:r>
      <w:r>
        <w:t xml:space="preserve"> </w:t>
      </w:r>
      <w:r>
        <w:rPr>
          <w:rFonts w:hint="eastAsia"/>
        </w:rPr>
        <w:t>2</w:t>
      </w:r>
      <w:r>
        <w:t>019</w:t>
      </w:r>
      <w:r>
        <w:rPr>
          <w:rFonts w:hint="eastAsia"/>
        </w:rPr>
        <w:t>年沈阳市建筑用能情况</w:t>
      </w:r>
    </w:p>
    <w:p w14:paraId="703EFF3B"/>
    <w:p w14:paraId="41FAE811">
      <w:pPr>
        <w:spacing w:line="360" w:lineRule="auto"/>
      </w:pPr>
      <w:r>
        <w:rPr>
          <w:rFonts w:hint="eastAsia"/>
        </w:rPr>
        <w:t>“十三五”期间，沈阳市建筑节能和绿色建筑工作成效显著，但还面临一些困难和问题：</w:t>
      </w:r>
    </w:p>
    <w:p w14:paraId="74955EB0">
      <w:pPr>
        <w:spacing w:line="360" w:lineRule="auto"/>
      </w:pPr>
      <w:r>
        <w:rPr>
          <w:rFonts w:hint="eastAsia"/>
        </w:rPr>
        <w:t>一是绿色建筑发展还不充分。在标准执行过程中重设计、轻运行的问题依然存在，高星级绿色建筑、运行评价标识项目数量较少；使用者体验感和获得感不强，绿色建筑发展仍是以技术导向为重，满足人民群众对美好生活品质的需要成为了亟待解决的问题；绿色建筑建设仍以单体建筑或住宅小区的形式为主，尚未形成区域性绿色化建设模式。</w:t>
      </w:r>
    </w:p>
    <w:p w14:paraId="19981E03">
      <w:pPr>
        <w:spacing w:line="360" w:lineRule="auto"/>
      </w:pPr>
      <w:r>
        <w:rPr>
          <w:rFonts w:hint="eastAsia"/>
        </w:rPr>
        <w:t>二是建筑绿色低碳产业链发展不均衡。适用于绿色建筑、新型工业化建筑发展的开发、设计、建材、装修、运输等企业转型缓慢，全产业链能力发展不均衡，未形成联动机制。产业配套尚不完善，未形成相互协作、优势互补、联动发展的产业链条。</w:t>
      </w:r>
    </w:p>
    <w:p w14:paraId="397FBBA6">
      <w:pPr>
        <w:spacing w:line="360" w:lineRule="auto"/>
      </w:pPr>
      <w:r>
        <w:rPr>
          <w:rFonts w:hint="eastAsia"/>
        </w:rPr>
        <w:t>三是市场化运作机制有待进一步探索。高品质绿色建筑、既有建筑绿色化改造、可再生能源应用、超低能耗建筑等仍然以财政补贴为主的方式推动，尚未建立长效市场推广应用机制，采用市场化方式实施能力不足，绿色金融与绿色建筑缺乏联动，配套法规、政策和标准体系仍需完善，适应“放管服”改革与优化营商环境的管理体制有待进一步优化。</w:t>
      </w:r>
    </w:p>
    <w:p w14:paraId="472E8FB4">
      <w:pPr>
        <w:spacing w:line="360" w:lineRule="auto"/>
      </w:pPr>
      <w:r>
        <w:rPr>
          <w:rFonts w:hint="eastAsia"/>
        </w:rPr>
        <w:t>四是建筑节能和绿色建筑技术创新还有待加强。目前沈阳市主要使用常规建筑保温技术体系，缺少更加节能环保、适用于沈阳当地气候特点的保温技术体系创新。同时，为实现</w:t>
      </w:r>
      <w:r>
        <w:t>2025年将沈阳建设成为区域制造业创新中心以及国内领先的绿色建筑技术研发基地的目标，沈阳市建筑绿色化发展技术支撑能力有待进一步提升，特别是随着绿色建筑由“四节一环保”向“安全耐久、健康舒适、生活便利、资源节约、环境宜居”转变，还需着力提升绿色建筑技术的体验感与获得感，加强建筑声光环境、室内空气品质等环境质量改善技术研发。</w:t>
      </w:r>
    </w:p>
    <w:p w14:paraId="593878DE">
      <w:pPr>
        <w:spacing w:line="360" w:lineRule="auto"/>
        <w:ind w:firstLine="482"/>
        <w:rPr>
          <w:b/>
          <w:bCs/>
        </w:rPr>
      </w:pPr>
      <w:r>
        <w:rPr>
          <w:b/>
          <w:bCs/>
        </w:rPr>
        <w:t>4、发展目标梳理</w:t>
      </w:r>
    </w:p>
    <w:p w14:paraId="663328DC">
      <w:pPr>
        <w:spacing w:line="360" w:lineRule="auto"/>
      </w:pPr>
      <w:r>
        <w:rPr>
          <w:rFonts w:hint="eastAsia"/>
        </w:rPr>
        <w:t>结合上述规划及政策梳理，辽宁省及沈阳市规划及政策中涉及建筑节能与绿色建筑发展目标及方向见下表，</w:t>
      </w:r>
      <w:r>
        <w:fldChar w:fldCharType="begin"/>
      </w:r>
      <w:r>
        <w:instrText xml:space="preserve"> REF _Ref68594525 \h  \* MERGEFORMAT </w:instrText>
      </w:r>
      <w:r>
        <w:fldChar w:fldCharType="separate"/>
      </w:r>
      <w:r>
        <w:rPr>
          <w:rFonts w:hint="eastAsia"/>
        </w:rPr>
        <w:t xml:space="preserve">表 </w:t>
      </w:r>
      <w:r>
        <w:t>5</w:t>
      </w:r>
      <w:r>
        <w:fldChar w:fldCharType="end"/>
      </w:r>
      <w:r>
        <w:rPr>
          <w:rFonts w:hint="eastAsia"/>
        </w:rPr>
        <w:t>为辽宁省及沈阳市面向</w:t>
      </w:r>
      <w:r>
        <w:t>“</w:t>
      </w:r>
      <w:r>
        <w:rPr>
          <w:rFonts w:hint="eastAsia"/>
        </w:rPr>
        <w:t>十三五</w:t>
      </w:r>
      <w:r>
        <w:t>”</w:t>
      </w:r>
      <w:r>
        <w:rPr>
          <w:rFonts w:hint="eastAsia"/>
        </w:rPr>
        <w:t>建筑节能与绿色建筑目标设定情况。</w:t>
      </w:r>
    </w:p>
    <w:p w14:paraId="6D4F9616">
      <w:pPr>
        <w:sectPr>
          <w:footerReference r:id="rId11" w:type="default"/>
          <w:pgSz w:w="11906" w:h="16838"/>
          <w:pgMar w:top="1440" w:right="1800" w:bottom="1440" w:left="1800" w:header="851" w:footer="992" w:gutter="0"/>
          <w:pgNumType w:start="1"/>
          <w:cols w:space="425" w:num="1"/>
          <w:docGrid w:type="lines" w:linePitch="312" w:charSpace="0"/>
        </w:sectPr>
      </w:pPr>
    </w:p>
    <w:p w14:paraId="064104A1">
      <w:pPr>
        <w:spacing w:before="163" w:after="163"/>
      </w:pPr>
      <w:r>
        <w:t>表3-</w:t>
      </w:r>
      <w:r>
        <w:fldChar w:fldCharType="begin"/>
      </w:r>
      <w:r>
        <w:instrText xml:space="preserve"> SEQ 表3- \* ARABIC </w:instrText>
      </w:r>
      <w:r>
        <w:fldChar w:fldCharType="separate"/>
      </w:r>
      <w:r>
        <w:t>9</w:t>
      </w:r>
      <w:r>
        <w:fldChar w:fldCharType="end"/>
      </w:r>
      <w:r>
        <w:t xml:space="preserve"> </w:t>
      </w:r>
      <w:r>
        <w:rPr>
          <w:rFonts w:hint="eastAsia"/>
        </w:rPr>
        <w:t>辽宁省及沈阳市面向</w:t>
      </w:r>
      <w:r>
        <w:t>“</w:t>
      </w:r>
      <w:r>
        <w:rPr>
          <w:rFonts w:hint="eastAsia"/>
        </w:rPr>
        <w:t>十三五</w:t>
      </w:r>
      <w:r>
        <w:t>”</w:t>
      </w:r>
      <w:r>
        <w:rPr>
          <w:rFonts w:hint="eastAsia"/>
        </w:rPr>
        <w:t>建筑节能与绿色建筑目标设定</w:t>
      </w:r>
    </w:p>
    <w:tbl>
      <w:tblPr>
        <w:tblStyle w:val="20"/>
        <w:tblW w:w="5000" w:type="pct"/>
        <w:tblInd w:w="0" w:type="dxa"/>
        <w:tblLayout w:type="autofit"/>
        <w:tblCellMar>
          <w:top w:w="0" w:type="dxa"/>
          <w:left w:w="108" w:type="dxa"/>
          <w:bottom w:w="0" w:type="dxa"/>
          <w:right w:w="108" w:type="dxa"/>
        </w:tblCellMar>
      </w:tblPr>
      <w:tblGrid>
        <w:gridCol w:w="9857"/>
        <w:gridCol w:w="602"/>
        <w:gridCol w:w="475"/>
        <w:gridCol w:w="3240"/>
      </w:tblGrid>
      <w:tr w14:paraId="4790AA89">
        <w:tblPrEx>
          <w:tblCellMar>
            <w:top w:w="0" w:type="dxa"/>
            <w:left w:w="108" w:type="dxa"/>
            <w:bottom w:w="0" w:type="dxa"/>
            <w:right w:w="108" w:type="dxa"/>
          </w:tblCellMar>
        </w:tblPrEx>
        <w:trPr>
          <w:trHeight w:val="285" w:hRule="atLeast"/>
          <w:tblHeader/>
        </w:trPr>
        <w:tc>
          <w:tcPr>
            <w:tcW w:w="3302" w:type="pct"/>
            <w:tcBorders>
              <w:top w:val="single" w:color="auto" w:sz="8" w:space="0"/>
              <w:left w:val="single" w:color="auto" w:sz="8" w:space="0"/>
              <w:bottom w:val="single" w:color="auto" w:sz="4" w:space="0"/>
              <w:right w:val="single" w:color="auto" w:sz="8" w:space="0"/>
            </w:tcBorders>
            <w:shd w:val="clear" w:color="auto" w:fill="auto"/>
            <w:noWrap/>
            <w:vAlign w:val="center"/>
          </w:tcPr>
          <w:p w14:paraId="556732F0">
            <w:pPr>
              <w:ind w:firstLine="0" w:firstLineChars="0"/>
              <w:jc w:val="center"/>
              <w:rPr>
                <w:b/>
                <w:bCs/>
                <w:sz w:val="21"/>
                <w:szCs w:val="21"/>
              </w:rPr>
            </w:pPr>
            <w:r>
              <w:rPr>
                <w:rFonts w:hint="eastAsia"/>
                <w:b/>
                <w:bCs/>
                <w:sz w:val="21"/>
                <w:szCs w:val="21"/>
              </w:rPr>
              <w:t>面向</w:t>
            </w:r>
            <w:r>
              <w:rPr>
                <w:b/>
                <w:bCs/>
                <w:sz w:val="21"/>
                <w:szCs w:val="21"/>
              </w:rPr>
              <w:t>“</w:t>
            </w:r>
            <w:r>
              <w:rPr>
                <w:rFonts w:hint="eastAsia"/>
                <w:b/>
                <w:bCs/>
                <w:sz w:val="21"/>
                <w:szCs w:val="21"/>
              </w:rPr>
              <w:t>十三五</w:t>
            </w:r>
            <w:r>
              <w:rPr>
                <w:b/>
                <w:bCs/>
                <w:sz w:val="21"/>
                <w:szCs w:val="21"/>
              </w:rPr>
              <w:t>”</w:t>
            </w:r>
            <w:r>
              <w:rPr>
                <w:rFonts w:hint="eastAsia"/>
                <w:b/>
                <w:bCs/>
                <w:sz w:val="21"/>
                <w:szCs w:val="21"/>
              </w:rPr>
              <w:t>目标设定</w:t>
            </w:r>
          </w:p>
        </w:tc>
        <w:tc>
          <w:tcPr>
            <w:tcW w:w="386" w:type="pct"/>
            <w:tcBorders>
              <w:top w:val="single" w:color="auto" w:sz="8" w:space="0"/>
              <w:left w:val="nil"/>
              <w:bottom w:val="single" w:color="auto" w:sz="4" w:space="0"/>
              <w:right w:val="single" w:color="auto" w:sz="8" w:space="0"/>
            </w:tcBorders>
            <w:shd w:val="clear" w:color="auto" w:fill="auto"/>
            <w:noWrap/>
            <w:vAlign w:val="center"/>
          </w:tcPr>
          <w:p w14:paraId="4D1679D5">
            <w:pPr>
              <w:ind w:firstLine="0" w:firstLineChars="0"/>
              <w:jc w:val="center"/>
              <w:rPr>
                <w:b/>
                <w:bCs/>
                <w:sz w:val="21"/>
                <w:szCs w:val="21"/>
              </w:rPr>
            </w:pPr>
            <w:r>
              <w:rPr>
                <w:rFonts w:hint="eastAsia"/>
                <w:b/>
                <w:bCs/>
                <w:sz w:val="21"/>
                <w:szCs w:val="21"/>
              </w:rPr>
              <w:t>目标方向</w:t>
            </w:r>
          </w:p>
        </w:tc>
        <w:tc>
          <w:tcPr>
            <w:tcW w:w="169" w:type="pct"/>
            <w:tcBorders>
              <w:top w:val="single" w:color="auto" w:sz="8" w:space="0"/>
              <w:left w:val="nil"/>
              <w:bottom w:val="single" w:color="auto" w:sz="4" w:space="0"/>
              <w:right w:val="single" w:color="auto" w:sz="8" w:space="0"/>
            </w:tcBorders>
            <w:shd w:val="clear" w:color="auto" w:fill="auto"/>
            <w:noWrap/>
            <w:vAlign w:val="center"/>
          </w:tcPr>
          <w:p w14:paraId="3CD09F2F">
            <w:pPr>
              <w:ind w:firstLine="0" w:firstLineChars="0"/>
              <w:jc w:val="center"/>
              <w:rPr>
                <w:b/>
                <w:bCs/>
                <w:sz w:val="21"/>
                <w:szCs w:val="21"/>
              </w:rPr>
            </w:pPr>
            <w:r>
              <w:rPr>
                <w:rFonts w:hint="eastAsia"/>
                <w:b/>
                <w:bCs/>
                <w:sz w:val="21"/>
                <w:szCs w:val="21"/>
              </w:rPr>
              <w:t>目标层级</w:t>
            </w:r>
          </w:p>
        </w:tc>
        <w:tc>
          <w:tcPr>
            <w:tcW w:w="1143" w:type="pct"/>
            <w:tcBorders>
              <w:top w:val="single" w:color="auto" w:sz="8" w:space="0"/>
              <w:left w:val="nil"/>
              <w:bottom w:val="single" w:color="auto" w:sz="4" w:space="0"/>
              <w:right w:val="single" w:color="auto" w:sz="8" w:space="0"/>
            </w:tcBorders>
            <w:shd w:val="clear" w:color="auto" w:fill="auto"/>
            <w:noWrap/>
            <w:vAlign w:val="center"/>
          </w:tcPr>
          <w:p w14:paraId="721A67C1">
            <w:pPr>
              <w:ind w:firstLine="0" w:firstLineChars="0"/>
              <w:jc w:val="center"/>
              <w:rPr>
                <w:b/>
                <w:bCs/>
                <w:sz w:val="21"/>
                <w:szCs w:val="21"/>
              </w:rPr>
            </w:pPr>
            <w:r>
              <w:rPr>
                <w:rFonts w:hint="eastAsia"/>
                <w:b/>
                <w:bCs/>
                <w:sz w:val="21"/>
                <w:szCs w:val="21"/>
              </w:rPr>
              <w:t>目标来源</w:t>
            </w:r>
          </w:p>
        </w:tc>
      </w:tr>
      <w:tr w14:paraId="482669A0">
        <w:tblPrEx>
          <w:tblCellMar>
            <w:top w:w="0" w:type="dxa"/>
            <w:left w:w="108" w:type="dxa"/>
            <w:bottom w:w="0" w:type="dxa"/>
            <w:right w:w="108" w:type="dxa"/>
          </w:tblCellMar>
        </w:tblPrEx>
        <w:trPr>
          <w:trHeight w:val="72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992BF">
            <w:pPr>
              <w:ind w:firstLine="0" w:firstLineChars="0"/>
              <w:rPr>
                <w:sz w:val="21"/>
                <w:szCs w:val="21"/>
              </w:rPr>
            </w:pPr>
            <w:r>
              <w:rPr>
                <w:rFonts w:hint="eastAsia"/>
                <w:sz w:val="21"/>
                <w:szCs w:val="21"/>
              </w:rPr>
              <w:t>深入开展绿色建筑行动</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42E415">
            <w:pPr>
              <w:ind w:firstLine="0" w:firstLineChars="0"/>
              <w:rPr>
                <w:sz w:val="21"/>
                <w:szCs w:val="21"/>
              </w:rPr>
            </w:pPr>
            <w:r>
              <w:rPr>
                <w:rFonts w:hint="eastAsia"/>
                <w:sz w:val="21"/>
                <w:szCs w:val="21"/>
              </w:rPr>
              <w:t>绿色建筑</w:t>
            </w:r>
          </w:p>
        </w:tc>
        <w:tc>
          <w:tcPr>
            <w:tcW w:w="1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2CE3CC">
            <w:pPr>
              <w:ind w:firstLine="0" w:firstLineChars="0"/>
              <w:rPr>
                <w:sz w:val="21"/>
                <w:szCs w:val="21"/>
              </w:rPr>
            </w:pPr>
            <w:r>
              <w:rPr>
                <w:rFonts w:hint="eastAsia"/>
                <w:sz w:val="21"/>
                <w:szCs w:val="21"/>
              </w:rPr>
              <w:t>辽宁省</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52782144">
            <w:pPr>
              <w:ind w:firstLine="0" w:firstLineChars="0"/>
              <w:rPr>
                <w:sz w:val="21"/>
                <w:szCs w:val="21"/>
              </w:rPr>
            </w:pPr>
            <w:r>
              <w:rPr>
                <w:rFonts w:hint="eastAsia"/>
                <w:sz w:val="21"/>
                <w:szCs w:val="21"/>
              </w:rPr>
              <w:t>《辽宁省国民经济和社会发展第十三个五年规划纲要》</w:t>
            </w:r>
          </w:p>
        </w:tc>
      </w:tr>
      <w:tr w14:paraId="62A34F14">
        <w:tblPrEx>
          <w:tblCellMar>
            <w:top w:w="0" w:type="dxa"/>
            <w:left w:w="108" w:type="dxa"/>
            <w:bottom w:w="0" w:type="dxa"/>
            <w:right w:w="108" w:type="dxa"/>
          </w:tblCellMar>
        </w:tblPrEx>
        <w:trPr>
          <w:trHeight w:val="171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E81F5">
            <w:pPr>
              <w:ind w:firstLine="0" w:firstLineChars="0"/>
              <w:rPr>
                <w:sz w:val="21"/>
                <w:szCs w:val="21"/>
              </w:rPr>
            </w:pPr>
            <w:r>
              <w:rPr>
                <w:rFonts w:hint="eastAsia"/>
                <w:sz w:val="21"/>
                <w:szCs w:val="21"/>
              </w:rPr>
              <w:t>完善绿色建筑建设标准体系，实施绿色建筑全产业链发展计划，推行绿色施工方式，推广节能绿色建材、装配式和钢结构建筑。到</w:t>
            </w:r>
            <w:r>
              <w:rPr>
                <w:sz w:val="21"/>
                <w:szCs w:val="21"/>
              </w:rPr>
              <w:t>2020</w:t>
            </w:r>
            <w:r>
              <w:rPr>
                <w:rFonts w:hint="eastAsia"/>
                <w:sz w:val="21"/>
                <w:szCs w:val="21"/>
              </w:rPr>
              <w:t>年城镇绿色建筑占当年新建建筑比例达到</w:t>
            </w:r>
            <w:r>
              <w:rPr>
                <w:sz w:val="21"/>
                <w:szCs w:val="21"/>
              </w:rPr>
              <w:t>50%</w:t>
            </w:r>
            <w:r>
              <w:rPr>
                <w:rFonts w:hint="eastAsia"/>
                <w:sz w:val="21"/>
                <w:szCs w:val="21"/>
              </w:rPr>
              <w:t>以上。公共机构率先执行绿色建筑标准，新建建筑全部达到绿色建筑标准。健全绿色标识体系，完善绿色建筑、绿色建材标识和认证制度，建立可追溯的绿色建材评价和信息管理系统</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5ACC1C99">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6BC273DB">
            <w:pPr>
              <w:ind w:firstLine="0" w:firstLineChars="0"/>
              <w:rPr>
                <w:sz w:val="21"/>
                <w:szCs w:val="21"/>
              </w:rPr>
            </w:pP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188DB37F">
            <w:pPr>
              <w:ind w:firstLine="0" w:firstLineChars="0"/>
              <w:rPr>
                <w:sz w:val="21"/>
                <w:szCs w:val="21"/>
              </w:rPr>
            </w:pPr>
            <w:r>
              <w:rPr>
                <w:rFonts w:hint="eastAsia"/>
                <w:sz w:val="21"/>
                <w:szCs w:val="21"/>
              </w:rPr>
              <w:t>《辽宁省</w:t>
            </w:r>
            <w:r>
              <w:rPr>
                <w:sz w:val="21"/>
                <w:szCs w:val="21"/>
              </w:rPr>
              <w:t>“</w:t>
            </w:r>
            <w:r>
              <w:rPr>
                <w:rFonts w:hint="eastAsia"/>
                <w:sz w:val="21"/>
                <w:szCs w:val="21"/>
              </w:rPr>
              <w:t>十三五</w:t>
            </w:r>
            <w:r>
              <w:rPr>
                <w:sz w:val="21"/>
                <w:szCs w:val="21"/>
              </w:rPr>
              <w:t>”</w:t>
            </w:r>
            <w:r>
              <w:rPr>
                <w:rFonts w:hint="eastAsia"/>
                <w:sz w:val="21"/>
                <w:szCs w:val="21"/>
              </w:rPr>
              <w:t>节能减排综合工作实施方案》、《辽宁省住房和城乡建设事业发展</w:t>
            </w:r>
            <w:r>
              <w:rPr>
                <w:sz w:val="21"/>
                <w:szCs w:val="21"/>
              </w:rPr>
              <w:t>“</w:t>
            </w:r>
            <w:r>
              <w:rPr>
                <w:rFonts w:hint="eastAsia"/>
                <w:sz w:val="21"/>
                <w:szCs w:val="21"/>
              </w:rPr>
              <w:t>十三五</w:t>
            </w:r>
            <w:r>
              <w:rPr>
                <w:sz w:val="21"/>
                <w:szCs w:val="21"/>
              </w:rPr>
              <w:t>”</w:t>
            </w:r>
            <w:r>
              <w:rPr>
                <w:rFonts w:hint="eastAsia"/>
                <w:sz w:val="21"/>
                <w:szCs w:val="21"/>
              </w:rPr>
              <w:t>规划》</w:t>
            </w:r>
          </w:p>
        </w:tc>
      </w:tr>
      <w:tr w14:paraId="5E978637">
        <w:tblPrEx>
          <w:tblCellMar>
            <w:top w:w="0" w:type="dxa"/>
            <w:left w:w="108" w:type="dxa"/>
            <w:bottom w:w="0" w:type="dxa"/>
            <w:right w:w="108" w:type="dxa"/>
          </w:tblCellMar>
        </w:tblPrEx>
        <w:trPr>
          <w:trHeight w:val="51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3F0074">
            <w:pPr>
              <w:ind w:firstLine="0" w:firstLineChars="0"/>
              <w:rPr>
                <w:sz w:val="21"/>
                <w:szCs w:val="21"/>
              </w:rPr>
            </w:pPr>
            <w:r>
              <w:rPr>
                <w:rFonts w:hint="eastAsia"/>
                <w:sz w:val="21"/>
                <w:szCs w:val="21"/>
              </w:rPr>
              <w:t>至</w:t>
            </w:r>
            <w:r>
              <w:rPr>
                <w:sz w:val="21"/>
                <w:szCs w:val="21"/>
              </w:rPr>
              <w:t>2020</w:t>
            </w:r>
            <w:r>
              <w:rPr>
                <w:rFonts w:hint="eastAsia"/>
                <w:sz w:val="21"/>
                <w:szCs w:val="21"/>
              </w:rPr>
              <w:t>年城镇绿色建筑占城镇新建建筑比例力争达到</w:t>
            </w:r>
            <w:r>
              <w:rPr>
                <w:sz w:val="21"/>
                <w:szCs w:val="21"/>
              </w:rPr>
              <w:t>50%</w:t>
            </w:r>
            <w:r>
              <w:rPr>
                <w:rFonts w:hint="eastAsia"/>
                <w:sz w:val="21"/>
                <w:szCs w:val="21"/>
              </w:rPr>
              <w:t>（</w:t>
            </w:r>
            <w:r>
              <w:rPr>
                <w:sz w:val="21"/>
                <w:szCs w:val="21"/>
              </w:rPr>
              <w:t>2018</w:t>
            </w:r>
            <w:r>
              <w:rPr>
                <w:rFonts w:hint="eastAsia"/>
                <w:sz w:val="21"/>
                <w:szCs w:val="21"/>
              </w:rPr>
              <w:t>年达到</w:t>
            </w:r>
            <w:r>
              <w:rPr>
                <w:sz w:val="21"/>
                <w:szCs w:val="21"/>
              </w:rPr>
              <w:t>40%</w:t>
            </w:r>
            <w:r>
              <w:rPr>
                <w:rFonts w:hint="eastAsia"/>
                <w:sz w:val="21"/>
                <w:szCs w:val="21"/>
              </w:rPr>
              <w:t>）</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4B42A1DD">
            <w:pPr>
              <w:ind w:firstLine="0" w:firstLineChars="0"/>
              <w:rPr>
                <w:sz w:val="21"/>
                <w:szCs w:val="21"/>
              </w:rPr>
            </w:pPr>
          </w:p>
        </w:tc>
        <w:tc>
          <w:tcPr>
            <w:tcW w:w="1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7FD54F">
            <w:pPr>
              <w:ind w:firstLine="0" w:firstLineChars="0"/>
              <w:rPr>
                <w:sz w:val="21"/>
                <w:szCs w:val="21"/>
              </w:rPr>
            </w:pPr>
            <w:r>
              <w:rPr>
                <w:rFonts w:hint="eastAsia"/>
                <w:sz w:val="21"/>
                <w:szCs w:val="21"/>
              </w:rPr>
              <w:t>沈阳市</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2E26789A">
            <w:pPr>
              <w:ind w:firstLine="0" w:firstLineChars="0"/>
              <w:rPr>
                <w:sz w:val="21"/>
                <w:szCs w:val="21"/>
              </w:rPr>
            </w:pPr>
            <w:r>
              <w:rPr>
                <w:rFonts w:hint="eastAsia"/>
                <w:sz w:val="21"/>
                <w:szCs w:val="21"/>
              </w:rPr>
              <w:t>《沈阳市促进建筑业持续健康发展方案》</w:t>
            </w:r>
          </w:p>
        </w:tc>
      </w:tr>
      <w:tr w14:paraId="56109DA2">
        <w:tblPrEx>
          <w:tblCellMar>
            <w:top w:w="0" w:type="dxa"/>
            <w:left w:w="108" w:type="dxa"/>
            <w:bottom w:w="0" w:type="dxa"/>
            <w:right w:w="108" w:type="dxa"/>
          </w:tblCellMar>
        </w:tblPrEx>
        <w:trPr>
          <w:trHeight w:val="72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1BEC6">
            <w:pPr>
              <w:ind w:firstLine="0" w:firstLineChars="0"/>
              <w:rPr>
                <w:sz w:val="21"/>
                <w:szCs w:val="21"/>
              </w:rPr>
            </w:pPr>
            <w:r>
              <w:rPr>
                <w:rFonts w:hint="eastAsia"/>
                <w:sz w:val="21"/>
                <w:szCs w:val="21"/>
              </w:rPr>
              <w:t>引导房地产开发项目执行绿色建筑标准，鼓励高星级绿色建筑示范工程建设，在土地出让环节增加绿色建筑指标要求。</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2065650A">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48A371EB">
            <w:pPr>
              <w:ind w:firstLine="0" w:firstLineChars="0"/>
              <w:rPr>
                <w:sz w:val="21"/>
                <w:szCs w:val="21"/>
              </w:rPr>
            </w:pP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2D9C3D48">
            <w:pPr>
              <w:ind w:firstLine="0" w:firstLineChars="0"/>
              <w:rPr>
                <w:sz w:val="21"/>
                <w:szCs w:val="21"/>
              </w:rPr>
            </w:pPr>
            <w:r>
              <w:rPr>
                <w:rFonts w:hint="eastAsia"/>
                <w:sz w:val="21"/>
                <w:szCs w:val="21"/>
              </w:rPr>
              <w:t>《沈阳市促进建筑业持续健康发展方案》</w:t>
            </w:r>
          </w:p>
        </w:tc>
      </w:tr>
      <w:tr w14:paraId="21FCB39C">
        <w:tblPrEx>
          <w:tblCellMar>
            <w:top w:w="0" w:type="dxa"/>
            <w:left w:w="108" w:type="dxa"/>
            <w:bottom w:w="0" w:type="dxa"/>
            <w:right w:w="108" w:type="dxa"/>
          </w:tblCellMar>
        </w:tblPrEx>
        <w:trPr>
          <w:trHeight w:val="735" w:hRule="atLeast"/>
        </w:trPr>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41C94735">
            <w:pPr>
              <w:ind w:firstLine="0" w:firstLineChars="0"/>
              <w:rPr>
                <w:sz w:val="21"/>
                <w:szCs w:val="21"/>
              </w:rPr>
            </w:pPr>
            <w:r>
              <w:rPr>
                <w:rFonts w:hint="eastAsia"/>
                <w:sz w:val="21"/>
                <w:szCs w:val="21"/>
              </w:rPr>
              <w:t>提出到</w:t>
            </w:r>
            <w:r>
              <w:rPr>
                <w:sz w:val="21"/>
                <w:szCs w:val="21"/>
              </w:rPr>
              <w:t>2020</w:t>
            </w:r>
            <w:r>
              <w:rPr>
                <w:rFonts w:hint="eastAsia"/>
                <w:sz w:val="21"/>
                <w:szCs w:val="21"/>
              </w:rPr>
              <w:t>年实现</w:t>
            </w:r>
            <w:r>
              <w:rPr>
                <w:sz w:val="21"/>
                <w:szCs w:val="21"/>
              </w:rPr>
              <w:t>“</w:t>
            </w:r>
            <w:r>
              <w:rPr>
                <w:rFonts w:hint="eastAsia"/>
                <w:sz w:val="21"/>
                <w:szCs w:val="21"/>
              </w:rPr>
              <w:t>绿色建筑发展迅速，建筑工程节能效率和工业化建造比重不断提高</w:t>
            </w:r>
            <w:r>
              <w:rPr>
                <w:sz w:val="21"/>
                <w:szCs w:val="21"/>
              </w:rPr>
              <w:t>”</w:t>
            </w:r>
            <w:r>
              <w:rPr>
                <w:rFonts w:hint="eastAsia"/>
                <w:sz w:val="21"/>
                <w:szCs w:val="21"/>
              </w:rPr>
              <w:t>的目标，并开展推进绿色建筑发展</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18DECC2C">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634ECD68">
            <w:pPr>
              <w:ind w:firstLine="0" w:firstLineChars="0"/>
              <w:rPr>
                <w:sz w:val="21"/>
                <w:szCs w:val="21"/>
              </w:rPr>
            </w:pPr>
          </w:p>
        </w:tc>
        <w:tc>
          <w:tcPr>
            <w:tcW w:w="1143" w:type="pct"/>
            <w:tcBorders>
              <w:top w:val="single" w:color="auto" w:sz="4" w:space="0"/>
              <w:left w:val="nil"/>
              <w:bottom w:val="single" w:color="auto" w:sz="4" w:space="0"/>
              <w:right w:val="single" w:color="auto" w:sz="4" w:space="0"/>
            </w:tcBorders>
            <w:shd w:val="clear" w:color="auto" w:fill="auto"/>
            <w:vAlign w:val="center"/>
          </w:tcPr>
          <w:p w14:paraId="2555DD36">
            <w:pPr>
              <w:ind w:firstLine="0" w:firstLineChars="0"/>
              <w:rPr>
                <w:sz w:val="21"/>
                <w:szCs w:val="21"/>
              </w:rPr>
            </w:pPr>
            <w:r>
              <w:rPr>
                <w:rFonts w:hint="eastAsia"/>
                <w:sz w:val="21"/>
                <w:szCs w:val="21"/>
              </w:rPr>
              <w:t>《沈阳市开展质量提升行动的实施方案》</w:t>
            </w:r>
          </w:p>
        </w:tc>
      </w:tr>
      <w:tr w14:paraId="4A04A33F">
        <w:tblPrEx>
          <w:tblCellMar>
            <w:top w:w="0" w:type="dxa"/>
            <w:left w:w="108" w:type="dxa"/>
            <w:bottom w:w="0" w:type="dxa"/>
            <w:right w:w="108" w:type="dxa"/>
          </w:tblCellMar>
        </w:tblPrEx>
        <w:trPr>
          <w:trHeight w:val="1455"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E56275">
            <w:pPr>
              <w:ind w:firstLine="0" w:firstLineChars="0"/>
              <w:rPr>
                <w:sz w:val="21"/>
                <w:szCs w:val="21"/>
              </w:rPr>
            </w:pPr>
            <w:r>
              <w:rPr>
                <w:rFonts w:hint="eastAsia"/>
                <w:sz w:val="21"/>
                <w:szCs w:val="21"/>
              </w:rPr>
              <w:t>到</w:t>
            </w:r>
            <w:r>
              <w:rPr>
                <w:sz w:val="21"/>
                <w:szCs w:val="21"/>
              </w:rPr>
              <w:t>2020</w:t>
            </w:r>
            <w:r>
              <w:rPr>
                <w:rFonts w:hint="eastAsia"/>
                <w:sz w:val="21"/>
                <w:szCs w:val="21"/>
              </w:rPr>
              <w:t>年，城镇居住建筑普遍执行节能率</w:t>
            </w:r>
            <w:r>
              <w:rPr>
                <w:sz w:val="21"/>
                <w:szCs w:val="21"/>
              </w:rPr>
              <w:t>75%</w:t>
            </w:r>
            <w:r>
              <w:rPr>
                <w:rFonts w:hint="eastAsia"/>
                <w:sz w:val="21"/>
                <w:szCs w:val="21"/>
              </w:rPr>
              <w:t>和公共建筑普遍执行节能率</w:t>
            </w:r>
            <w:r>
              <w:rPr>
                <w:sz w:val="21"/>
                <w:szCs w:val="21"/>
              </w:rPr>
              <w:t>65%</w:t>
            </w:r>
            <w:r>
              <w:rPr>
                <w:rFonts w:hint="eastAsia"/>
                <w:sz w:val="21"/>
                <w:szCs w:val="21"/>
              </w:rPr>
              <w:t>的设计标准</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0F4E12">
            <w:pPr>
              <w:ind w:firstLine="0" w:firstLineChars="0"/>
              <w:rPr>
                <w:sz w:val="21"/>
                <w:szCs w:val="21"/>
              </w:rPr>
            </w:pPr>
            <w:r>
              <w:rPr>
                <w:rFonts w:hint="eastAsia"/>
                <w:sz w:val="21"/>
                <w:szCs w:val="21"/>
              </w:rPr>
              <w:t>建筑节能</w:t>
            </w:r>
          </w:p>
        </w:tc>
        <w:tc>
          <w:tcPr>
            <w:tcW w:w="1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B13F59">
            <w:pPr>
              <w:ind w:firstLine="0" w:firstLineChars="0"/>
              <w:rPr>
                <w:sz w:val="21"/>
                <w:szCs w:val="21"/>
              </w:rPr>
            </w:pPr>
            <w:r>
              <w:rPr>
                <w:rFonts w:hint="eastAsia"/>
                <w:sz w:val="21"/>
                <w:szCs w:val="21"/>
              </w:rPr>
              <w:t>辽宁省</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7D69A56B">
            <w:pPr>
              <w:ind w:firstLine="0" w:firstLineChars="0"/>
              <w:rPr>
                <w:sz w:val="21"/>
                <w:szCs w:val="21"/>
              </w:rPr>
            </w:pPr>
            <w:r>
              <w:rPr>
                <w:rFonts w:hint="eastAsia"/>
                <w:sz w:val="21"/>
                <w:szCs w:val="21"/>
              </w:rPr>
              <w:t>《辽宁省国民经济和社会发展第十三个五年规划纲要》、《辽宁省住房和城乡建设事业发展</w:t>
            </w:r>
            <w:r>
              <w:rPr>
                <w:sz w:val="21"/>
                <w:szCs w:val="21"/>
              </w:rPr>
              <w:t>“</w:t>
            </w:r>
            <w:r>
              <w:rPr>
                <w:rFonts w:hint="eastAsia"/>
                <w:sz w:val="21"/>
                <w:szCs w:val="21"/>
              </w:rPr>
              <w:t>十三五</w:t>
            </w:r>
            <w:r>
              <w:rPr>
                <w:sz w:val="21"/>
                <w:szCs w:val="21"/>
              </w:rPr>
              <w:t>”</w:t>
            </w:r>
            <w:r>
              <w:rPr>
                <w:rFonts w:hint="eastAsia"/>
                <w:sz w:val="21"/>
                <w:szCs w:val="21"/>
              </w:rPr>
              <w:t>规划》</w:t>
            </w:r>
          </w:p>
        </w:tc>
      </w:tr>
      <w:tr w14:paraId="7CD9EB5D">
        <w:tblPrEx>
          <w:tblCellMar>
            <w:top w:w="0" w:type="dxa"/>
            <w:left w:w="108" w:type="dxa"/>
            <w:bottom w:w="0" w:type="dxa"/>
            <w:right w:w="108" w:type="dxa"/>
          </w:tblCellMar>
        </w:tblPrEx>
        <w:trPr>
          <w:trHeight w:val="735"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ECE94E">
            <w:pPr>
              <w:ind w:firstLine="0" w:firstLineChars="0"/>
              <w:rPr>
                <w:sz w:val="21"/>
                <w:szCs w:val="21"/>
              </w:rPr>
            </w:pPr>
            <w:r>
              <w:rPr>
                <w:rFonts w:hint="eastAsia"/>
                <w:sz w:val="21"/>
                <w:szCs w:val="21"/>
              </w:rPr>
              <w:t>严格执行建筑节能标准</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00C67C53">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5B4A9237">
            <w:pPr>
              <w:ind w:firstLine="0" w:firstLineChars="0"/>
              <w:rPr>
                <w:sz w:val="21"/>
                <w:szCs w:val="21"/>
              </w:rPr>
            </w:pP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6DDBBC7A">
            <w:pPr>
              <w:ind w:firstLine="0" w:firstLineChars="0"/>
              <w:rPr>
                <w:sz w:val="21"/>
                <w:szCs w:val="21"/>
              </w:rPr>
            </w:pPr>
            <w:r>
              <w:rPr>
                <w:rFonts w:hint="eastAsia"/>
                <w:sz w:val="21"/>
                <w:szCs w:val="21"/>
              </w:rPr>
              <w:t>《辽宁省</w:t>
            </w:r>
            <w:r>
              <w:rPr>
                <w:sz w:val="21"/>
                <w:szCs w:val="21"/>
              </w:rPr>
              <w:t>“</w:t>
            </w:r>
            <w:r>
              <w:rPr>
                <w:rFonts w:hint="eastAsia"/>
                <w:sz w:val="21"/>
                <w:szCs w:val="21"/>
              </w:rPr>
              <w:t>十三五</w:t>
            </w:r>
            <w:r>
              <w:rPr>
                <w:sz w:val="21"/>
                <w:szCs w:val="21"/>
              </w:rPr>
              <w:t>”</w:t>
            </w:r>
            <w:r>
              <w:rPr>
                <w:rFonts w:hint="eastAsia"/>
                <w:sz w:val="21"/>
                <w:szCs w:val="21"/>
              </w:rPr>
              <w:t>节能减排综合工作实施方案》</w:t>
            </w:r>
          </w:p>
        </w:tc>
      </w:tr>
      <w:tr w14:paraId="63E3E63F">
        <w:tblPrEx>
          <w:tblCellMar>
            <w:top w:w="0" w:type="dxa"/>
            <w:left w:w="108" w:type="dxa"/>
            <w:bottom w:w="0" w:type="dxa"/>
            <w:right w:w="108" w:type="dxa"/>
          </w:tblCellMar>
        </w:tblPrEx>
        <w:trPr>
          <w:trHeight w:val="975"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1CC41">
            <w:pPr>
              <w:ind w:firstLine="0" w:firstLineChars="0"/>
              <w:rPr>
                <w:sz w:val="21"/>
                <w:szCs w:val="21"/>
              </w:rPr>
            </w:pPr>
            <w:r>
              <w:rPr>
                <w:rFonts w:hint="eastAsia"/>
                <w:sz w:val="21"/>
                <w:szCs w:val="21"/>
              </w:rPr>
              <w:t>提高建筑节能标准，严格落实建筑节能强制性标准，全市居住建筑按照建筑节能率</w:t>
            </w:r>
            <w:r>
              <w:rPr>
                <w:sz w:val="21"/>
                <w:szCs w:val="21"/>
              </w:rPr>
              <w:t>75%</w:t>
            </w:r>
            <w:r>
              <w:rPr>
                <w:rFonts w:hint="eastAsia"/>
                <w:sz w:val="21"/>
                <w:szCs w:val="21"/>
              </w:rPr>
              <w:t>标准进行设计和建造。加强施工监管，严格建筑节能专项验收，开展被动房、低能耗建筑试点工程建设。</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7D8151DD">
            <w:pPr>
              <w:ind w:firstLine="0" w:firstLineChars="0"/>
              <w:rPr>
                <w:sz w:val="21"/>
                <w:szCs w:val="21"/>
              </w:rPr>
            </w:pPr>
          </w:p>
        </w:tc>
        <w:tc>
          <w:tcPr>
            <w:tcW w:w="169" w:type="pct"/>
            <w:tcBorders>
              <w:top w:val="single" w:color="auto" w:sz="4" w:space="0"/>
              <w:left w:val="nil"/>
              <w:bottom w:val="single" w:color="auto" w:sz="4" w:space="0"/>
              <w:right w:val="single" w:color="auto" w:sz="4" w:space="0"/>
            </w:tcBorders>
            <w:shd w:val="clear" w:color="auto" w:fill="auto"/>
            <w:noWrap/>
            <w:vAlign w:val="center"/>
          </w:tcPr>
          <w:p w14:paraId="7F4A7A6F">
            <w:pPr>
              <w:ind w:firstLine="0" w:firstLineChars="0"/>
              <w:rPr>
                <w:sz w:val="21"/>
                <w:szCs w:val="21"/>
              </w:rPr>
            </w:pPr>
            <w:r>
              <w:rPr>
                <w:rFonts w:hint="eastAsia"/>
                <w:sz w:val="21"/>
                <w:szCs w:val="21"/>
              </w:rPr>
              <w:t>沈阳市</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3646DDF1">
            <w:pPr>
              <w:ind w:firstLine="0" w:firstLineChars="0"/>
              <w:rPr>
                <w:sz w:val="21"/>
                <w:szCs w:val="21"/>
              </w:rPr>
            </w:pPr>
            <w:r>
              <w:rPr>
                <w:rFonts w:hint="eastAsia"/>
                <w:sz w:val="21"/>
                <w:szCs w:val="21"/>
              </w:rPr>
              <w:t>《沈阳市促进建筑业持续健康发展方案》</w:t>
            </w:r>
          </w:p>
        </w:tc>
      </w:tr>
      <w:tr w14:paraId="79C323AF">
        <w:tblPrEx>
          <w:tblCellMar>
            <w:top w:w="0" w:type="dxa"/>
            <w:left w:w="108" w:type="dxa"/>
            <w:bottom w:w="0" w:type="dxa"/>
            <w:right w:w="108" w:type="dxa"/>
          </w:tblCellMar>
        </w:tblPrEx>
        <w:trPr>
          <w:trHeight w:val="147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DF853">
            <w:pPr>
              <w:ind w:firstLine="0" w:firstLineChars="0"/>
              <w:rPr>
                <w:sz w:val="21"/>
                <w:szCs w:val="21"/>
              </w:rPr>
            </w:pPr>
            <w:r>
              <w:rPr>
                <w:rFonts w:hint="eastAsia"/>
                <w:sz w:val="21"/>
                <w:szCs w:val="21"/>
              </w:rPr>
              <w:t>推动建筑节能宜居综合改造试点城市建设，加快推进既有建筑节能和供热计量改造。到</w:t>
            </w:r>
            <w:r>
              <w:rPr>
                <w:sz w:val="21"/>
                <w:szCs w:val="21"/>
              </w:rPr>
              <w:t>2020</w:t>
            </w:r>
            <w:r>
              <w:rPr>
                <w:rFonts w:hint="eastAsia"/>
                <w:sz w:val="21"/>
                <w:szCs w:val="21"/>
              </w:rPr>
              <w:t>年基本完成全省有条件的城镇居住建筑的节能改造。激发公共机构节能服务的市场需求，以合同能源管理、政府和社会资本合作（</w:t>
            </w:r>
            <w:r>
              <w:rPr>
                <w:sz w:val="21"/>
                <w:szCs w:val="21"/>
              </w:rPr>
              <w:t>PPP</w:t>
            </w:r>
            <w:r>
              <w:rPr>
                <w:rFonts w:hint="eastAsia"/>
                <w:sz w:val="21"/>
                <w:szCs w:val="21"/>
              </w:rPr>
              <w:t>）等市场化手段为依托，积极推动公共机构节能综合改造</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6FB872">
            <w:pPr>
              <w:ind w:firstLine="0" w:firstLineChars="0"/>
              <w:rPr>
                <w:sz w:val="21"/>
                <w:szCs w:val="21"/>
              </w:rPr>
            </w:pPr>
            <w:r>
              <w:rPr>
                <w:rFonts w:hint="eastAsia"/>
                <w:sz w:val="21"/>
                <w:szCs w:val="21"/>
              </w:rPr>
              <w:t>改造</w:t>
            </w:r>
          </w:p>
        </w:tc>
        <w:tc>
          <w:tcPr>
            <w:tcW w:w="1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842984">
            <w:pPr>
              <w:ind w:firstLine="0" w:firstLineChars="0"/>
              <w:rPr>
                <w:sz w:val="21"/>
                <w:szCs w:val="21"/>
              </w:rPr>
            </w:pPr>
            <w:r>
              <w:rPr>
                <w:rFonts w:hint="eastAsia"/>
                <w:sz w:val="21"/>
                <w:szCs w:val="21"/>
              </w:rPr>
              <w:t>辽宁省</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6F1800BF">
            <w:pPr>
              <w:ind w:firstLine="0" w:firstLineChars="0"/>
              <w:rPr>
                <w:sz w:val="21"/>
                <w:szCs w:val="21"/>
              </w:rPr>
            </w:pPr>
            <w:r>
              <w:rPr>
                <w:rFonts w:hint="eastAsia"/>
                <w:sz w:val="21"/>
                <w:szCs w:val="21"/>
              </w:rPr>
              <w:t>《辽宁省</w:t>
            </w:r>
            <w:r>
              <w:rPr>
                <w:sz w:val="21"/>
                <w:szCs w:val="21"/>
              </w:rPr>
              <w:t>“</w:t>
            </w:r>
            <w:r>
              <w:rPr>
                <w:rFonts w:hint="eastAsia"/>
                <w:sz w:val="21"/>
                <w:szCs w:val="21"/>
              </w:rPr>
              <w:t>十三五</w:t>
            </w:r>
            <w:r>
              <w:rPr>
                <w:sz w:val="21"/>
                <w:szCs w:val="21"/>
              </w:rPr>
              <w:t>”</w:t>
            </w:r>
            <w:r>
              <w:rPr>
                <w:rFonts w:hint="eastAsia"/>
                <w:sz w:val="21"/>
                <w:szCs w:val="21"/>
              </w:rPr>
              <w:t>节能减排综合工作实施方案》</w:t>
            </w:r>
          </w:p>
        </w:tc>
      </w:tr>
      <w:tr w14:paraId="11720BB5">
        <w:tblPrEx>
          <w:tblCellMar>
            <w:top w:w="0" w:type="dxa"/>
            <w:left w:w="108" w:type="dxa"/>
            <w:bottom w:w="0" w:type="dxa"/>
            <w:right w:w="108" w:type="dxa"/>
          </w:tblCellMar>
        </w:tblPrEx>
        <w:trPr>
          <w:trHeight w:val="75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32CCA">
            <w:pPr>
              <w:ind w:firstLine="0" w:firstLineChars="0"/>
              <w:rPr>
                <w:sz w:val="21"/>
                <w:szCs w:val="21"/>
              </w:rPr>
            </w:pPr>
            <w:r>
              <w:rPr>
                <w:rFonts w:hint="eastAsia"/>
                <w:sz w:val="21"/>
                <w:szCs w:val="21"/>
              </w:rPr>
              <w:t>到</w:t>
            </w:r>
            <w:r>
              <w:rPr>
                <w:sz w:val="21"/>
                <w:szCs w:val="21"/>
              </w:rPr>
              <w:t>2020</w:t>
            </w:r>
            <w:r>
              <w:rPr>
                <w:rFonts w:hint="eastAsia"/>
                <w:sz w:val="21"/>
                <w:szCs w:val="21"/>
              </w:rPr>
              <w:t>年，预期完成既有居住建筑供热计量和节能改造（即</w:t>
            </w:r>
            <w:r>
              <w:rPr>
                <w:sz w:val="21"/>
                <w:szCs w:val="21"/>
              </w:rPr>
              <w:t>“</w:t>
            </w:r>
            <w:r>
              <w:rPr>
                <w:rFonts w:hint="eastAsia"/>
                <w:sz w:val="21"/>
                <w:szCs w:val="21"/>
              </w:rPr>
              <w:t>暖房子</w:t>
            </w:r>
            <w:r>
              <w:rPr>
                <w:sz w:val="21"/>
                <w:szCs w:val="21"/>
              </w:rPr>
              <w:t>”</w:t>
            </w:r>
            <w:r>
              <w:rPr>
                <w:rFonts w:hint="eastAsia"/>
                <w:sz w:val="21"/>
                <w:szCs w:val="21"/>
              </w:rPr>
              <w:t>工程）</w:t>
            </w:r>
            <w:r>
              <w:rPr>
                <w:sz w:val="21"/>
                <w:szCs w:val="21"/>
              </w:rPr>
              <w:t>8000</w:t>
            </w:r>
            <w:r>
              <w:rPr>
                <w:rFonts w:hint="eastAsia"/>
                <w:sz w:val="21"/>
                <w:szCs w:val="21"/>
              </w:rPr>
              <w:t>万平方米</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4EEC95EB">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6382B76D">
            <w:pPr>
              <w:ind w:firstLine="0" w:firstLineChars="0"/>
              <w:rPr>
                <w:sz w:val="21"/>
                <w:szCs w:val="21"/>
              </w:rPr>
            </w:pP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3B56C62B">
            <w:pPr>
              <w:ind w:firstLine="0" w:firstLineChars="0"/>
              <w:rPr>
                <w:sz w:val="21"/>
                <w:szCs w:val="21"/>
              </w:rPr>
            </w:pPr>
            <w:r>
              <w:rPr>
                <w:rFonts w:hint="eastAsia"/>
                <w:sz w:val="21"/>
                <w:szCs w:val="21"/>
              </w:rPr>
              <w:t>《辽宁省住房和城乡建设事业发展</w:t>
            </w:r>
            <w:r>
              <w:rPr>
                <w:sz w:val="21"/>
                <w:szCs w:val="21"/>
              </w:rPr>
              <w:t>“</w:t>
            </w:r>
            <w:r>
              <w:rPr>
                <w:rFonts w:hint="eastAsia"/>
                <w:sz w:val="21"/>
                <w:szCs w:val="21"/>
              </w:rPr>
              <w:t>十三五</w:t>
            </w:r>
            <w:r>
              <w:rPr>
                <w:sz w:val="21"/>
                <w:szCs w:val="21"/>
              </w:rPr>
              <w:t>”</w:t>
            </w:r>
            <w:r>
              <w:rPr>
                <w:rFonts w:hint="eastAsia"/>
                <w:sz w:val="21"/>
                <w:szCs w:val="21"/>
              </w:rPr>
              <w:t>规划》</w:t>
            </w:r>
          </w:p>
        </w:tc>
      </w:tr>
      <w:tr w14:paraId="1D692AEA">
        <w:tblPrEx>
          <w:tblCellMar>
            <w:top w:w="0" w:type="dxa"/>
            <w:left w:w="108" w:type="dxa"/>
            <w:bottom w:w="0" w:type="dxa"/>
            <w:right w:w="108" w:type="dxa"/>
          </w:tblCellMar>
        </w:tblPrEx>
        <w:trPr>
          <w:trHeight w:val="75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04C92C">
            <w:pPr>
              <w:ind w:firstLine="0" w:firstLineChars="0"/>
              <w:rPr>
                <w:sz w:val="21"/>
                <w:szCs w:val="21"/>
              </w:rPr>
            </w:pPr>
            <w:r>
              <w:rPr>
                <w:rFonts w:hint="eastAsia"/>
                <w:sz w:val="21"/>
                <w:szCs w:val="21"/>
              </w:rPr>
              <w:t>采用建筑产业现代化方式建造的住宅新开工面积占住宅新开工总面积比例逐年提高</w:t>
            </w:r>
          </w:p>
        </w:tc>
        <w:tc>
          <w:tcPr>
            <w:tcW w:w="386" w:type="pct"/>
            <w:vMerge w:val="restart"/>
            <w:tcBorders>
              <w:top w:val="single" w:color="auto" w:sz="4" w:space="0"/>
              <w:left w:val="nil"/>
              <w:bottom w:val="single" w:color="auto" w:sz="4" w:space="0"/>
              <w:right w:val="nil"/>
            </w:tcBorders>
            <w:shd w:val="clear" w:color="auto" w:fill="auto"/>
            <w:vAlign w:val="center"/>
          </w:tcPr>
          <w:p w14:paraId="189BB8FD">
            <w:pPr>
              <w:ind w:firstLine="0" w:firstLineChars="0"/>
              <w:rPr>
                <w:sz w:val="21"/>
                <w:szCs w:val="21"/>
              </w:rPr>
            </w:pPr>
            <w:r>
              <w:rPr>
                <w:rFonts w:hint="eastAsia"/>
                <w:sz w:val="21"/>
                <w:szCs w:val="21"/>
              </w:rPr>
              <w:t>建筑产业现代化</w:t>
            </w:r>
          </w:p>
        </w:tc>
        <w:tc>
          <w:tcPr>
            <w:tcW w:w="1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4F44A6">
            <w:pPr>
              <w:ind w:firstLine="0" w:firstLineChars="0"/>
              <w:rPr>
                <w:sz w:val="21"/>
                <w:szCs w:val="21"/>
              </w:rPr>
            </w:pPr>
            <w:r>
              <w:rPr>
                <w:rFonts w:hint="eastAsia"/>
                <w:sz w:val="21"/>
                <w:szCs w:val="21"/>
              </w:rPr>
              <w:t>辽宁省</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60DC2B68">
            <w:pPr>
              <w:ind w:firstLine="0" w:firstLineChars="0"/>
              <w:rPr>
                <w:sz w:val="21"/>
                <w:szCs w:val="21"/>
              </w:rPr>
            </w:pPr>
            <w:r>
              <w:rPr>
                <w:rFonts w:hint="eastAsia"/>
                <w:sz w:val="21"/>
                <w:szCs w:val="21"/>
              </w:rPr>
              <w:t>《辽宁省住房和城乡建设事业发展</w:t>
            </w:r>
            <w:r>
              <w:rPr>
                <w:sz w:val="21"/>
                <w:szCs w:val="21"/>
              </w:rPr>
              <w:t>“</w:t>
            </w:r>
            <w:r>
              <w:rPr>
                <w:rFonts w:hint="eastAsia"/>
                <w:sz w:val="21"/>
                <w:szCs w:val="21"/>
              </w:rPr>
              <w:t>十三五</w:t>
            </w:r>
            <w:r>
              <w:rPr>
                <w:sz w:val="21"/>
                <w:szCs w:val="21"/>
              </w:rPr>
              <w:t>”</w:t>
            </w:r>
            <w:r>
              <w:rPr>
                <w:rFonts w:hint="eastAsia"/>
                <w:sz w:val="21"/>
                <w:szCs w:val="21"/>
              </w:rPr>
              <w:t>规划》</w:t>
            </w:r>
          </w:p>
        </w:tc>
      </w:tr>
      <w:tr w14:paraId="16A55D3C">
        <w:tblPrEx>
          <w:tblCellMar>
            <w:top w:w="0" w:type="dxa"/>
            <w:left w:w="108" w:type="dxa"/>
            <w:bottom w:w="0" w:type="dxa"/>
            <w:right w:w="108" w:type="dxa"/>
          </w:tblCellMar>
        </w:tblPrEx>
        <w:trPr>
          <w:trHeight w:val="144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DBB9E">
            <w:pPr>
              <w:ind w:firstLine="0" w:firstLineChars="0"/>
              <w:rPr>
                <w:sz w:val="21"/>
                <w:szCs w:val="21"/>
              </w:rPr>
            </w:pPr>
            <w:r>
              <w:rPr>
                <w:rFonts w:hint="eastAsia"/>
                <w:sz w:val="21"/>
                <w:szCs w:val="21"/>
              </w:rPr>
              <w:t>积极发展装配式建筑。各地区应在新建民用建筑建设用地规划条件、项目建设条件中明确装配式建筑比例、装配率、评价等级等要求，在施工图审查和竣工验收备案环节予以把关。对被评定为省级及以上装配式建筑产业基地、示范项目的建筑业企业，在类似项目招标时应设置加分条件，鼓励市县政府制定相应的奖励政策。</w:t>
            </w:r>
          </w:p>
        </w:tc>
        <w:tc>
          <w:tcPr>
            <w:tcW w:w="386" w:type="pct"/>
            <w:vMerge w:val="continue"/>
            <w:tcBorders>
              <w:top w:val="single" w:color="auto" w:sz="4" w:space="0"/>
              <w:left w:val="nil"/>
              <w:bottom w:val="single" w:color="auto" w:sz="4" w:space="0"/>
              <w:right w:val="nil"/>
            </w:tcBorders>
            <w:vAlign w:val="center"/>
          </w:tcPr>
          <w:p w14:paraId="5BC9DE1B">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505684A0">
            <w:pPr>
              <w:ind w:firstLine="0" w:firstLineChars="0"/>
              <w:rPr>
                <w:sz w:val="21"/>
                <w:szCs w:val="21"/>
              </w:rPr>
            </w:pP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69026240">
            <w:pPr>
              <w:ind w:firstLine="0" w:firstLineChars="0"/>
              <w:rPr>
                <w:sz w:val="21"/>
                <w:szCs w:val="21"/>
              </w:rPr>
            </w:pPr>
            <w:r>
              <w:rPr>
                <w:rFonts w:hint="eastAsia"/>
                <w:sz w:val="21"/>
                <w:szCs w:val="21"/>
              </w:rPr>
              <w:t>《辽宁省人民政府办公厅关于促进建筑业高质量发展的意见》</w:t>
            </w:r>
          </w:p>
        </w:tc>
      </w:tr>
      <w:tr w14:paraId="5641B473">
        <w:tblPrEx>
          <w:tblCellMar>
            <w:top w:w="0" w:type="dxa"/>
            <w:left w:w="108" w:type="dxa"/>
            <w:bottom w:w="0" w:type="dxa"/>
            <w:right w:w="108" w:type="dxa"/>
          </w:tblCellMar>
        </w:tblPrEx>
        <w:trPr>
          <w:trHeight w:val="72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AAACDC">
            <w:pPr>
              <w:ind w:firstLine="0" w:firstLineChars="0"/>
              <w:rPr>
                <w:sz w:val="21"/>
                <w:szCs w:val="21"/>
              </w:rPr>
            </w:pPr>
            <w:r>
              <w:rPr>
                <w:rFonts w:hint="eastAsia"/>
                <w:sz w:val="21"/>
                <w:szCs w:val="21"/>
              </w:rPr>
              <w:t>加快现代建筑产业体系建设，全面推广应用现代建筑产业化技术，成为全国现代建筑产业发展领军城市</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6D701628">
            <w:pPr>
              <w:ind w:firstLine="0" w:firstLineChars="0"/>
              <w:rPr>
                <w:sz w:val="21"/>
                <w:szCs w:val="21"/>
              </w:rPr>
            </w:pPr>
          </w:p>
        </w:tc>
        <w:tc>
          <w:tcPr>
            <w:tcW w:w="1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BDAC5B">
            <w:pPr>
              <w:ind w:firstLine="0" w:firstLineChars="0"/>
              <w:rPr>
                <w:sz w:val="21"/>
                <w:szCs w:val="21"/>
              </w:rPr>
            </w:pPr>
            <w:r>
              <w:rPr>
                <w:rFonts w:hint="eastAsia"/>
                <w:sz w:val="21"/>
                <w:szCs w:val="21"/>
              </w:rPr>
              <w:t>沈阳市</w:t>
            </w:r>
          </w:p>
        </w:tc>
        <w:tc>
          <w:tcPr>
            <w:tcW w:w="11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D0C513">
            <w:pPr>
              <w:ind w:firstLine="0" w:firstLineChars="0"/>
              <w:rPr>
                <w:sz w:val="21"/>
                <w:szCs w:val="21"/>
              </w:rPr>
            </w:pPr>
            <w:r>
              <w:rPr>
                <w:rFonts w:hint="eastAsia"/>
                <w:sz w:val="21"/>
                <w:szCs w:val="21"/>
              </w:rPr>
              <w:t>《沈阳市国民经济和社会发展第十三个五年规划纲要》</w:t>
            </w:r>
          </w:p>
        </w:tc>
      </w:tr>
      <w:tr w14:paraId="4AA4D9FF">
        <w:tblPrEx>
          <w:tblCellMar>
            <w:top w:w="0" w:type="dxa"/>
            <w:left w:w="108" w:type="dxa"/>
            <w:bottom w:w="0" w:type="dxa"/>
            <w:right w:w="108" w:type="dxa"/>
          </w:tblCellMar>
        </w:tblPrEx>
        <w:trPr>
          <w:trHeight w:val="2040" w:hRule="atLeast"/>
        </w:trPr>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758F1A38">
            <w:pPr>
              <w:ind w:firstLine="0" w:firstLineChars="0"/>
              <w:rPr>
                <w:sz w:val="21"/>
                <w:szCs w:val="21"/>
              </w:rPr>
            </w:pPr>
            <w:r>
              <w:rPr>
                <w:rFonts w:hint="eastAsia"/>
                <w:sz w:val="21"/>
                <w:szCs w:val="21"/>
              </w:rPr>
              <w:t>依托我市作为国家装配式建筑示范城市的优势，完善相关政策措施和管理体系，以工程项目建设为抓手，以产业发展为核心，努力打造现代建筑千亿产业链，到</w:t>
            </w:r>
            <w:r>
              <w:rPr>
                <w:sz w:val="21"/>
                <w:szCs w:val="21"/>
              </w:rPr>
              <w:t>2020</w:t>
            </w:r>
            <w:r>
              <w:rPr>
                <w:rFonts w:hint="eastAsia"/>
                <w:sz w:val="21"/>
                <w:szCs w:val="21"/>
              </w:rPr>
              <w:t>年，全市装配式建筑占新建建筑比例力争达到</w:t>
            </w:r>
            <w:r>
              <w:rPr>
                <w:sz w:val="21"/>
                <w:szCs w:val="21"/>
              </w:rPr>
              <w:t>50%</w:t>
            </w:r>
            <w:r>
              <w:rPr>
                <w:rFonts w:hint="eastAsia"/>
                <w:sz w:val="21"/>
                <w:szCs w:val="21"/>
              </w:rPr>
              <w:t>，商品住房成品化比率达到</w:t>
            </w:r>
            <w:r>
              <w:rPr>
                <w:sz w:val="21"/>
                <w:szCs w:val="21"/>
              </w:rPr>
              <w:t>50%</w:t>
            </w:r>
            <w:r>
              <w:rPr>
                <w:rFonts w:hint="eastAsia"/>
                <w:sz w:val="21"/>
                <w:szCs w:val="21"/>
              </w:rPr>
              <w:t>以上，培育</w:t>
            </w:r>
            <w:r>
              <w:rPr>
                <w:sz w:val="21"/>
                <w:szCs w:val="21"/>
              </w:rPr>
              <w:t>4</w:t>
            </w:r>
            <w:r>
              <w:rPr>
                <w:rFonts w:hint="eastAsia"/>
                <w:sz w:val="21"/>
                <w:szCs w:val="21"/>
              </w:rPr>
              <w:t>个以上国家级装配式建筑产业示范基地和</w:t>
            </w:r>
            <w:r>
              <w:rPr>
                <w:sz w:val="21"/>
                <w:szCs w:val="21"/>
              </w:rPr>
              <w:t>2</w:t>
            </w:r>
            <w:r>
              <w:rPr>
                <w:rFonts w:hint="eastAsia"/>
                <w:sz w:val="21"/>
                <w:szCs w:val="21"/>
              </w:rPr>
              <w:t>个以上装配式建筑科技创新基地，装配式建筑成为主要建造方式，建筑产业配套更加齐全，成为我市重要支柱产业</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2CBDE7A1">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0C13BC3D">
            <w:pPr>
              <w:ind w:firstLine="0" w:firstLineChars="0"/>
              <w:rPr>
                <w:sz w:val="21"/>
                <w:szCs w:val="21"/>
              </w:rPr>
            </w:pPr>
          </w:p>
        </w:tc>
        <w:tc>
          <w:tcPr>
            <w:tcW w:w="11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F3A39">
            <w:pPr>
              <w:ind w:firstLine="0" w:firstLineChars="0"/>
              <w:rPr>
                <w:sz w:val="21"/>
                <w:szCs w:val="21"/>
              </w:rPr>
            </w:pPr>
            <w:r>
              <w:rPr>
                <w:rFonts w:hint="eastAsia"/>
                <w:sz w:val="21"/>
                <w:szCs w:val="21"/>
              </w:rPr>
              <w:t>《沈阳市促进建筑业持续健康发展方案》</w:t>
            </w:r>
          </w:p>
        </w:tc>
      </w:tr>
      <w:tr w14:paraId="7FA6E5B9">
        <w:tblPrEx>
          <w:tblCellMar>
            <w:top w:w="0" w:type="dxa"/>
            <w:left w:w="108" w:type="dxa"/>
            <w:bottom w:w="0" w:type="dxa"/>
            <w:right w:w="108" w:type="dxa"/>
          </w:tblCellMar>
        </w:tblPrEx>
        <w:trPr>
          <w:trHeight w:val="765" w:hRule="atLeast"/>
        </w:trPr>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1CA0ED3E">
            <w:pPr>
              <w:ind w:firstLine="0" w:firstLineChars="0"/>
              <w:rPr>
                <w:sz w:val="21"/>
                <w:szCs w:val="21"/>
              </w:rPr>
            </w:pPr>
            <w:r>
              <w:rPr>
                <w:rFonts w:hint="eastAsia"/>
                <w:sz w:val="21"/>
                <w:szCs w:val="21"/>
              </w:rPr>
              <w:t>鼓励推动现代建筑产业发展，政府保障性住房、公共建筑等符合应用条件的项目应采用装配式建筑技术</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07FA398B">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345E9C55">
            <w:pPr>
              <w:ind w:firstLine="0" w:firstLineChars="0"/>
              <w:rPr>
                <w:sz w:val="21"/>
                <w:szCs w:val="21"/>
              </w:rPr>
            </w:pP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14:paraId="54FAB6BC">
            <w:pPr>
              <w:ind w:firstLine="0" w:firstLineChars="0"/>
              <w:rPr>
                <w:sz w:val="21"/>
                <w:szCs w:val="21"/>
              </w:rPr>
            </w:pPr>
            <w:r>
              <w:rPr>
                <w:rFonts w:hint="eastAsia"/>
                <w:sz w:val="21"/>
                <w:szCs w:val="21"/>
              </w:rPr>
              <w:t>《沈阳市加快推进国家循环经济示范城市建设工作方案》</w:t>
            </w:r>
          </w:p>
        </w:tc>
      </w:tr>
      <w:tr w14:paraId="7907EFCB">
        <w:tblPrEx>
          <w:tblCellMar>
            <w:top w:w="0" w:type="dxa"/>
            <w:left w:w="108" w:type="dxa"/>
            <w:bottom w:w="0" w:type="dxa"/>
            <w:right w:w="108" w:type="dxa"/>
          </w:tblCellMar>
        </w:tblPrEx>
        <w:trPr>
          <w:trHeight w:val="810" w:hRule="atLeast"/>
        </w:trPr>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39C3384B">
            <w:pPr>
              <w:ind w:firstLine="0" w:firstLineChars="0"/>
              <w:rPr>
                <w:sz w:val="21"/>
                <w:szCs w:val="21"/>
              </w:rPr>
            </w:pPr>
            <w:r>
              <w:rPr>
                <w:rFonts w:hint="eastAsia"/>
                <w:sz w:val="21"/>
                <w:szCs w:val="21"/>
              </w:rPr>
              <w:t>在大力发展现代建筑应用方面，给予一定优惠政策，并在推动装配式建筑推广应用、装配式企业一体化发展和国家级产业园区建设方面均提出一定要求。</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5B51064D">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1E25DA09">
            <w:pPr>
              <w:ind w:firstLine="0" w:firstLineChars="0"/>
              <w:rPr>
                <w:sz w:val="21"/>
                <w:szCs w:val="21"/>
              </w:rPr>
            </w:pP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14:paraId="75896637">
            <w:pPr>
              <w:ind w:firstLine="0" w:firstLineChars="0"/>
              <w:rPr>
                <w:sz w:val="21"/>
                <w:szCs w:val="21"/>
              </w:rPr>
            </w:pPr>
            <w:r>
              <w:rPr>
                <w:rFonts w:hint="eastAsia"/>
                <w:sz w:val="21"/>
                <w:szCs w:val="21"/>
              </w:rPr>
              <w:t>《关于促进沈阳市建筑业持续健康发展的意见》</w:t>
            </w:r>
          </w:p>
        </w:tc>
      </w:tr>
      <w:tr w14:paraId="1FBC0DB6">
        <w:tblPrEx>
          <w:tblCellMar>
            <w:top w:w="0" w:type="dxa"/>
            <w:left w:w="108" w:type="dxa"/>
            <w:bottom w:w="0" w:type="dxa"/>
            <w:right w:w="108" w:type="dxa"/>
          </w:tblCellMar>
        </w:tblPrEx>
        <w:trPr>
          <w:trHeight w:val="75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6CA2EE">
            <w:pPr>
              <w:ind w:firstLine="0" w:firstLineChars="0"/>
              <w:rPr>
                <w:sz w:val="21"/>
                <w:szCs w:val="21"/>
              </w:rPr>
            </w:pPr>
            <w:r>
              <w:rPr>
                <w:rFonts w:hint="eastAsia"/>
                <w:sz w:val="21"/>
                <w:szCs w:val="21"/>
              </w:rPr>
              <w:t>基本使用新型墙体材料和高效节能门窗</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591803">
            <w:pPr>
              <w:ind w:firstLine="0" w:firstLineChars="0"/>
              <w:rPr>
                <w:sz w:val="21"/>
                <w:szCs w:val="21"/>
              </w:rPr>
            </w:pPr>
            <w:r>
              <w:rPr>
                <w:rFonts w:hint="eastAsia"/>
                <w:sz w:val="21"/>
                <w:szCs w:val="21"/>
              </w:rPr>
              <w:t>绿色建材</w:t>
            </w:r>
          </w:p>
        </w:tc>
        <w:tc>
          <w:tcPr>
            <w:tcW w:w="1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2F1AE9">
            <w:pPr>
              <w:ind w:firstLine="0" w:firstLineChars="0"/>
              <w:rPr>
                <w:sz w:val="21"/>
                <w:szCs w:val="21"/>
              </w:rPr>
            </w:pPr>
            <w:r>
              <w:rPr>
                <w:rFonts w:hint="eastAsia"/>
                <w:sz w:val="21"/>
                <w:szCs w:val="21"/>
              </w:rPr>
              <w:t>辽宁省</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5D383630">
            <w:pPr>
              <w:ind w:firstLine="0" w:firstLineChars="0"/>
              <w:rPr>
                <w:sz w:val="21"/>
                <w:szCs w:val="21"/>
              </w:rPr>
            </w:pPr>
            <w:r>
              <w:rPr>
                <w:rFonts w:hint="eastAsia"/>
                <w:sz w:val="21"/>
                <w:szCs w:val="21"/>
              </w:rPr>
              <w:t>《辽宁省住房和城乡建设事业发展</w:t>
            </w:r>
            <w:r>
              <w:rPr>
                <w:sz w:val="21"/>
                <w:szCs w:val="21"/>
              </w:rPr>
              <w:t>“</w:t>
            </w:r>
            <w:r>
              <w:rPr>
                <w:rFonts w:hint="eastAsia"/>
                <w:sz w:val="21"/>
                <w:szCs w:val="21"/>
              </w:rPr>
              <w:t>十三五</w:t>
            </w:r>
            <w:r>
              <w:rPr>
                <w:sz w:val="21"/>
                <w:szCs w:val="21"/>
              </w:rPr>
              <w:t>”</w:t>
            </w:r>
            <w:r>
              <w:rPr>
                <w:rFonts w:hint="eastAsia"/>
                <w:sz w:val="21"/>
                <w:szCs w:val="21"/>
              </w:rPr>
              <w:t>规划》</w:t>
            </w:r>
          </w:p>
        </w:tc>
      </w:tr>
      <w:tr w14:paraId="0F257E5F">
        <w:tblPrEx>
          <w:tblCellMar>
            <w:top w:w="0" w:type="dxa"/>
            <w:left w:w="108" w:type="dxa"/>
            <w:bottom w:w="0" w:type="dxa"/>
            <w:right w:w="108" w:type="dxa"/>
          </w:tblCellMar>
        </w:tblPrEx>
        <w:trPr>
          <w:trHeight w:val="735"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0E4F0">
            <w:pPr>
              <w:ind w:firstLine="0" w:firstLineChars="0"/>
              <w:rPr>
                <w:sz w:val="21"/>
                <w:szCs w:val="21"/>
              </w:rPr>
            </w:pPr>
            <w:r>
              <w:rPr>
                <w:rFonts w:hint="eastAsia"/>
                <w:sz w:val="21"/>
                <w:szCs w:val="21"/>
              </w:rPr>
              <w:t>健全绿色标识体系，完善绿色建筑、绿色建材标识和认证制度，建立可追溯的绿色建材评价和信息管理系统</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0C28933F">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354C15A6">
            <w:pPr>
              <w:ind w:firstLine="0" w:firstLineChars="0"/>
              <w:rPr>
                <w:sz w:val="21"/>
                <w:szCs w:val="21"/>
              </w:rPr>
            </w:pP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0B49AC26">
            <w:pPr>
              <w:ind w:firstLine="0" w:firstLineChars="0"/>
              <w:rPr>
                <w:sz w:val="21"/>
                <w:szCs w:val="21"/>
              </w:rPr>
            </w:pPr>
            <w:r>
              <w:rPr>
                <w:rFonts w:hint="eastAsia"/>
                <w:sz w:val="21"/>
                <w:szCs w:val="21"/>
              </w:rPr>
              <w:t>《辽宁省</w:t>
            </w:r>
            <w:r>
              <w:rPr>
                <w:sz w:val="21"/>
                <w:szCs w:val="21"/>
              </w:rPr>
              <w:t>“</w:t>
            </w:r>
            <w:r>
              <w:rPr>
                <w:rFonts w:hint="eastAsia"/>
                <w:sz w:val="21"/>
                <w:szCs w:val="21"/>
              </w:rPr>
              <w:t>十三五</w:t>
            </w:r>
            <w:r>
              <w:rPr>
                <w:sz w:val="21"/>
                <w:szCs w:val="21"/>
              </w:rPr>
              <w:t>”</w:t>
            </w:r>
            <w:r>
              <w:rPr>
                <w:rFonts w:hint="eastAsia"/>
                <w:sz w:val="21"/>
                <w:szCs w:val="21"/>
              </w:rPr>
              <w:t>节能减排综合工作实施方案》</w:t>
            </w:r>
          </w:p>
        </w:tc>
      </w:tr>
      <w:tr w14:paraId="0D4747A8">
        <w:tblPrEx>
          <w:tblCellMar>
            <w:top w:w="0" w:type="dxa"/>
            <w:left w:w="108" w:type="dxa"/>
            <w:bottom w:w="0" w:type="dxa"/>
            <w:right w:w="108" w:type="dxa"/>
          </w:tblCellMar>
        </w:tblPrEx>
        <w:trPr>
          <w:trHeight w:val="1215"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8128A">
            <w:pPr>
              <w:ind w:firstLine="0" w:firstLineChars="0"/>
              <w:rPr>
                <w:sz w:val="21"/>
                <w:szCs w:val="21"/>
              </w:rPr>
            </w:pPr>
            <w:r>
              <w:rPr>
                <w:rFonts w:hint="eastAsia"/>
                <w:sz w:val="21"/>
                <w:szCs w:val="21"/>
              </w:rPr>
              <w:t>大力发展绿色建材，推动适用于装配式建筑、绿色建筑建设需求的高效保温材料、高效节能门窗、保温装饰一体化复合墙板、预拌砂浆等绿色建材和部品的研发、生产和推广应用。实施绿色建材信息化管理和推荐目录管理，建立绿色建材</w:t>
            </w:r>
            <w:r>
              <w:rPr>
                <w:sz w:val="21"/>
                <w:szCs w:val="21"/>
              </w:rPr>
              <w:t>(</w:t>
            </w:r>
            <w:r>
              <w:rPr>
                <w:rFonts w:hint="eastAsia"/>
                <w:sz w:val="21"/>
                <w:szCs w:val="21"/>
              </w:rPr>
              <w:t>建筑产业化部品部件</w:t>
            </w:r>
            <w:r>
              <w:rPr>
                <w:sz w:val="21"/>
                <w:szCs w:val="21"/>
              </w:rPr>
              <w:t>)</w:t>
            </w:r>
            <w:r>
              <w:rPr>
                <w:rFonts w:hint="eastAsia"/>
                <w:sz w:val="21"/>
                <w:szCs w:val="21"/>
              </w:rPr>
              <w:t>数据库</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00DF17E8">
            <w:pPr>
              <w:ind w:firstLine="0" w:firstLineChars="0"/>
              <w:rPr>
                <w:sz w:val="21"/>
                <w:szCs w:val="21"/>
              </w:rPr>
            </w:pPr>
          </w:p>
        </w:tc>
        <w:tc>
          <w:tcPr>
            <w:tcW w:w="1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EADC37">
            <w:pPr>
              <w:ind w:firstLine="0" w:firstLineChars="0"/>
              <w:rPr>
                <w:sz w:val="21"/>
                <w:szCs w:val="21"/>
              </w:rPr>
            </w:pPr>
            <w:r>
              <w:rPr>
                <w:rFonts w:hint="eastAsia"/>
                <w:sz w:val="21"/>
                <w:szCs w:val="21"/>
              </w:rPr>
              <w:t>沈阳市</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116C45EE">
            <w:pPr>
              <w:ind w:firstLine="0" w:firstLineChars="0"/>
              <w:rPr>
                <w:sz w:val="21"/>
                <w:szCs w:val="21"/>
              </w:rPr>
            </w:pPr>
            <w:r>
              <w:rPr>
                <w:rFonts w:hint="eastAsia"/>
                <w:sz w:val="21"/>
                <w:szCs w:val="21"/>
              </w:rPr>
              <w:t>《沈阳市促进建筑业持续健康发展方案》</w:t>
            </w:r>
          </w:p>
        </w:tc>
      </w:tr>
      <w:tr w14:paraId="05FEB811">
        <w:tblPrEx>
          <w:tblCellMar>
            <w:top w:w="0" w:type="dxa"/>
            <w:left w:w="108" w:type="dxa"/>
            <w:bottom w:w="0" w:type="dxa"/>
            <w:right w:w="108" w:type="dxa"/>
          </w:tblCellMar>
        </w:tblPrEx>
        <w:trPr>
          <w:trHeight w:val="510" w:hRule="atLeast"/>
        </w:trPr>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08746A31">
            <w:pPr>
              <w:ind w:firstLine="0" w:firstLineChars="0"/>
              <w:rPr>
                <w:sz w:val="21"/>
                <w:szCs w:val="21"/>
              </w:rPr>
            </w:pPr>
            <w:r>
              <w:rPr>
                <w:rFonts w:hint="eastAsia"/>
                <w:sz w:val="21"/>
                <w:szCs w:val="21"/>
              </w:rPr>
              <w:t>鼓励新型墙材料等绿色建材生产</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0637183E">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27005D61">
            <w:pPr>
              <w:ind w:firstLine="0" w:firstLineChars="0"/>
              <w:rPr>
                <w:sz w:val="21"/>
                <w:szCs w:val="21"/>
              </w:rPr>
            </w:pPr>
          </w:p>
        </w:tc>
        <w:tc>
          <w:tcPr>
            <w:tcW w:w="1143" w:type="pct"/>
            <w:tcBorders>
              <w:top w:val="single" w:color="auto" w:sz="4" w:space="0"/>
              <w:left w:val="nil"/>
              <w:bottom w:val="single" w:color="auto" w:sz="4" w:space="0"/>
              <w:right w:val="single" w:color="auto" w:sz="4" w:space="0"/>
            </w:tcBorders>
            <w:shd w:val="clear" w:color="auto" w:fill="auto"/>
            <w:vAlign w:val="center"/>
          </w:tcPr>
          <w:p w14:paraId="087812AF">
            <w:pPr>
              <w:ind w:firstLine="0" w:firstLineChars="0"/>
              <w:rPr>
                <w:sz w:val="21"/>
                <w:szCs w:val="21"/>
              </w:rPr>
            </w:pPr>
            <w:r>
              <w:rPr>
                <w:rFonts w:hint="eastAsia"/>
                <w:sz w:val="21"/>
                <w:szCs w:val="21"/>
              </w:rPr>
              <w:t>《沈阳市开展质量提升行动的实施方案》</w:t>
            </w:r>
          </w:p>
        </w:tc>
      </w:tr>
      <w:tr w14:paraId="43B67944">
        <w:tblPrEx>
          <w:tblCellMar>
            <w:top w:w="0" w:type="dxa"/>
            <w:left w:w="108" w:type="dxa"/>
            <w:bottom w:w="0" w:type="dxa"/>
            <w:right w:w="108" w:type="dxa"/>
          </w:tblCellMar>
        </w:tblPrEx>
        <w:trPr>
          <w:trHeight w:val="57" w:hRule="atLeast"/>
        </w:trPr>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3F1E4A40">
            <w:pPr>
              <w:ind w:firstLine="0" w:firstLineChars="0"/>
              <w:rPr>
                <w:sz w:val="21"/>
                <w:szCs w:val="21"/>
              </w:rPr>
            </w:pPr>
            <w:r>
              <w:rPr>
                <w:rFonts w:hint="eastAsia"/>
                <w:sz w:val="21"/>
                <w:szCs w:val="21"/>
              </w:rPr>
              <w:t>建立</w:t>
            </w:r>
            <w:r>
              <w:rPr>
                <w:sz w:val="21"/>
                <w:szCs w:val="21"/>
              </w:rPr>
              <w:t>“</w:t>
            </w:r>
            <w:r>
              <w:rPr>
                <w:rFonts w:hint="eastAsia"/>
                <w:sz w:val="21"/>
                <w:szCs w:val="21"/>
              </w:rPr>
              <w:t>工业废渣</w:t>
            </w:r>
            <w:r>
              <w:rPr>
                <w:sz w:val="21"/>
                <w:szCs w:val="21"/>
              </w:rPr>
              <w:t>—</w:t>
            </w:r>
            <w:r>
              <w:rPr>
                <w:rFonts w:hint="eastAsia"/>
                <w:sz w:val="21"/>
                <w:szCs w:val="21"/>
              </w:rPr>
              <w:t>建材</w:t>
            </w:r>
            <w:r>
              <w:rPr>
                <w:sz w:val="21"/>
                <w:szCs w:val="21"/>
              </w:rPr>
              <w:t>”</w:t>
            </w:r>
            <w:r>
              <w:rPr>
                <w:rFonts w:hint="eastAsia"/>
                <w:sz w:val="21"/>
                <w:szCs w:val="21"/>
              </w:rPr>
              <w:t>产业链，建立</w:t>
            </w:r>
            <w:r>
              <w:rPr>
                <w:sz w:val="21"/>
                <w:szCs w:val="21"/>
              </w:rPr>
              <w:t>“</w:t>
            </w:r>
            <w:r>
              <w:rPr>
                <w:rFonts w:hint="eastAsia"/>
                <w:sz w:val="21"/>
                <w:szCs w:val="21"/>
              </w:rPr>
              <w:t>废旧家具、农林废弃物</w:t>
            </w:r>
            <w:r>
              <w:rPr>
                <w:sz w:val="21"/>
                <w:szCs w:val="21"/>
              </w:rPr>
              <w:t>—</w:t>
            </w:r>
            <w:r>
              <w:rPr>
                <w:rFonts w:hint="eastAsia"/>
                <w:sz w:val="21"/>
                <w:szCs w:val="21"/>
              </w:rPr>
              <w:t>建筑用木制品</w:t>
            </w:r>
            <w:r>
              <w:rPr>
                <w:sz w:val="21"/>
                <w:szCs w:val="21"/>
              </w:rPr>
              <w:t>”</w:t>
            </w:r>
            <w:r>
              <w:rPr>
                <w:rFonts w:hint="eastAsia"/>
                <w:sz w:val="21"/>
                <w:szCs w:val="21"/>
              </w:rPr>
              <w:t>产业链</w:t>
            </w:r>
          </w:p>
        </w:tc>
        <w:tc>
          <w:tcPr>
            <w:tcW w:w="386" w:type="pct"/>
            <w:tcBorders>
              <w:top w:val="single" w:color="auto" w:sz="4" w:space="0"/>
              <w:left w:val="nil"/>
              <w:bottom w:val="single" w:color="auto" w:sz="4" w:space="0"/>
              <w:right w:val="single" w:color="auto" w:sz="4" w:space="0"/>
            </w:tcBorders>
            <w:shd w:val="clear" w:color="auto" w:fill="auto"/>
            <w:noWrap/>
            <w:vAlign w:val="center"/>
          </w:tcPr>
          <w:p w14:paraId="428FB593">
            <w:pPr>
              <w:ind w:firstLine="0" w:firstLineChars="0"/>
              <w:rPr>
                <w:sz w:val="21"/>
                <w:szCs w:val="21"/>
              </w:rPr>
            </w:pPr>
            <w:r>
              <w:rPr>
                <w:rFonts w:hint="eastAsia"/>
                <w:sz w:val="21"/>
                <w:szCs w:val="21"/>
              </w:rPr>
              <w:t>建筑产业链</w:t>
            </w:r>
          </w:p>
        </w:tc>
        <w:tc>
          <w:tcPr>
            <w:tcW w:w="169" w:type="pct"/>
            <w:tcBorders>
              <w:top w:val="single" w:color="auto" w:sz="4" w:space="0"/>
              <w:left w:val="nil"/>
              <w:bottom w:val="single" w:color="auto" w:sz="4" w:space="0"/>
              <w:right w:val="single" w:color="auto" w:sz="4" w:space="0"/>
            </w:tcBorders>
            <w:shd w:val="clear" w:color="auto" w:fill="auto"/>
            <w:noWrap/>
            <w:vAlign w:val="center"/>
          </w:tcPr>
          <w:p w14:paraId="563FC1BA">
            <w:pPr>
              <w:ind w:firstLine="0" w:firstLineChars="0"/>
              <w:rPr>
                <w:sz w:val="21"/>
                <w:szCs w:val="21"/>
              </w:rPr>
            </w:pPr>
            <w:r>
              <w:rPr>
                <w:rFonts w:hint="eastAsia"/>
                <w:sz w:val="21"/>
                <w:szCs w:val="21"/>
              </w:rPr>
              <w:t>沈阳市</w:t>
            </w:r>
          </w:p>
        </w:tc>
        <w:tc>
          <w:tcPr>
            <w:tcW w:w="1143" w:type="pct"/>
            <w:tcBorders>
              <w:top w:val="single" w:color="auto" w:sz="4" w:space="0"/>
              <w:left w:val="nil"/>
              <w:bottom w:val="single" w:color="auto" w:sz="4" w:space="0"/>
              <w:right w:val="single" w:color="auto" w:sz="4" w:space="0"/>
            </w:tcBorders>
            <w:shd w:val="clear" w:color="auto" w:fill="auto"/>
            <w:vAlign w:val="center"/>
          </w:tcPr>
          <w:p w14:paraId="2883D876">
            <w:pPr>
              <w:ind w:firstLine="0" w:firstLineChars="0"/>
              <w:rPr>
                <w:sz w:val="21"/>
                <w:szCs w:val="21"/>
              </w:rPr>
            </w:pPr>
            <w:r>
              <w:rPr>
                <w:rFonts w:hint="eastAsia"/>
                <w:sz w:val="21"/>
                <w:szCs w:val="21"/>
              </w:rPr>
              <w:t>《沈阳市加快推进国家循环经济示范城市建设工作方案》</w:t>
            </w:r>
          </w:p>
        </w:tc>
      </w:tr>
      <w:tr w14:paraId="667DDED4">
        <w:tblPrEx>
          <w:tblCellMar>
            <w:top w:w="0" w:type="dxa"/>
            <w:left w:w="108" w:type="dxa"/>
            <w:bottom w:w="0" w:type="dxa"/>
            <w:right w:w="108" w:type="dxa"/>
          </w:tblCellMar>
        </w:tblPrEx>
        <w:trPr>
          <w:trHeight w:val="126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C4433">
            <w:pPr>
              <w:ind w:firstLine="0" w:firstLineChars="0"/>
              <w:rPr>
                <w:sz w:val="21"/>
                <w:szCs w:val="21"/>
              </w:rPr>
            </w:pPr>
            <w:r>
              <w:rPr>
                <w:rFonts w:hint="eastAsia"/>
                <w:sz w:val="21"/>
                <w:szCs w:val="21"/>
              </w:rPr>
              <w:t>发挥政府投资项目的产业化建设引领作用，推广应用一体化总承包模式、</w:t>
            </w:r>
            <w:r>
              <w:rPr>
                <w:sz w:val="21"/>
                <w:szCs w:val="21"/>
              </w:rPr>
              <w:t>BIM(</w:t>
            </w:r>
            <w:r>
              <w:rPr>
                <w:rFonts w:hint="eastAsia"/>
                <w:sz w:val="21"/>
                <w:szCs w:val="21"/>
              </w:rPr>
              <w:t>建筑信息模型</w:t>
            </w:r>
            <w:r>
              <w:rPr>
                <w:sz w:val="21"/>
                <w:szCs w:val="21"/>
              </w:rPr>
              <w:t>)</w:t>
            </w:r>
            <w:r>
              <w:rPr>
                <w:rFonts w:hint="eastAsia"/>
                <w:sz w:val="21"/>
                <w:szCs w:val="21"/>
              </w:rPr>
              <w:t>及钢结构、木结构等低碳绿色新技术，开展</w:t>
            </w:r>
            <w:r>
              <w:rPr>
                <w:sz w:val="21"/>
                <w:szCs w:val="21"/>
              </w:rPr>
              <w:t>BIM</w:t>
            </w:r>
            <w:r>
              <w:rPr>
                <w:rFonts w:hint="eastAsia"/>
                <w:sz w:val="21"/>
                <w:szCs w:val="21"/>
              </w:rPr>
              <w:t>技术应用试点项目建设，在政府投资项目、装配式建筑项目、绿色建筑项目中，率先应用</w:t>
            </w:r>
            <w:r>
              <w:rPr>
                <w:sz w:val="21"/>
                <w:szCs w:val="21"/>
              </w:rPr>
              <w:t>BIM</w:t>
            </w:r>
            <w:r>
              <w:rPr>
                <w:rFonts w:hint="eastAsia"/>
                <w:sz w:val="21"/>
                <w:szCs w:val="21"/>
              </w:rPr>
              <w:t>技术进行工程建设</w:t>
            </w:r>
          </w:p>
        </w:tc>
        <w:tc>
          <w:tcPr>
            <w:tcW w:w="386" w:type="pct"/>
            <w:tcBorders>
              <w:top w:val="single" w:color="auto" w:sz="4" w:space="0"/>
              <w:left w:val="nil"/>
              <w:bottom w:val="single" w:color="auto" w:sz="4" w:space="0"/>
              <w:right w:val="single" w:color="auto" w:sz="4" w:space="0"/>
            </w:tcBorders>
            <w:shd w:val="clear" w:color="auto" w:fill="auto"/>
            <w:noWrap/>
            <w:vAlign w:val="center"/>
          </w:tcPr>
          <w:p w14:paraId="410221A8">
            <w:pPr>
              <w:ind w:firstLine="0" w:firstLineChars="0"/>
              <w:rPr>
                <w:sz w:val="21"/>
                <w:szCs w:val="21"/>
              </w:rPr>
            </w:pPr>
            <w:r>
              <w:rPr>
                <w:rFonts w:hint="eastAsia"/>
                <w:sz w:val="21"/>
                <w:szCs w:val="21"/>
              </w:rPr>
              <w:t>技术推广</w:t>
            </w:r>
          </w:p>
        </w:tc>
        <w:tc>
          <w:tcPr>
            <w:tcW w:w="169" w:type="pct"/>
            <w:tcBorders>
              <w:top w:val="single" w:color="auto" w:sz="4" w:space="0"/>
              <w:left w:val="nil"/>
              <w:bottom w:val="single" w:color="auto" w:sz="4" w:space="0"/>
              <w:right w:val="single" w:color="auto" w:sz="4" w:space="0"/>
            </w:tcBorders>
            <w:shd w:val="clear" w:color="auto" w:fill="auto"/>
            <w:noWrap/>
            <w:vAlign w:val="center"/>
          </w:tcPr>
          <w:p w14:paraId="6E53C03E">
            <w:pPr>
              <w:ind w:firstLine="0" w:firstLineChars="0"/>
              <w:rPr>
                <w:sz w:val="21"/>
                <w:szCs w:val="21"/>
              </w:rPr>
            </w:pPr>
            <w:r>
              <w:rPr>
                <w:rFonts w:hint="eastAsia"/>
                <w:sz w:val="21"/>
                <w:szCs w:val="21"/>
              </w:rPr>
              <w:t>沈阳市</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10B45BC8">
            <w:pPr>
              <w:ind w:firstLine="0" w:firstLineChars="0"/>
              <w:rPr>
                <w:sz w:val="21"/>
                <w:szCs w:val="21"/>
              </w:rPr>
            </w:pPr>
            <w:r>
              <w:rPr>
                <w:rFonts w:hint="eastAsia"/>
                <w:sz w:val="21"/>
                <w:szCs w:val="21"/>
              </w:rPr>
              <w:t>《沈阳市促进建筑业持续健康发展方案》</w:t>
            </w:r>
          </w:p>
        </w:tc>
      </w:tr>
      <w:tr w14:paraId="7220DC0F">
        <w:tblPrEx>
          <w:tblCellMar>
            <w:top w:w="0" w:type="dxa"/>
            <w:left w:w="108" w:type="dxa"/>
            <w:bottom w:w="0" w:type="dxa"/>
            <w:right w:w="108" w:type="dxa"/>
          </w:tblCellMar>
        </w:tblPrEx>
        <w:trPr>
          <w:trHeight w:val="765" w:hRule="atLeast"/>
        </w:trPr>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455C48D0">
            <w:pPr>
              <w:ind w:firstLine="0" w:firstLineChars="0"/>
              <w:rPr>
                <w:sz w:val="21"/>
                <w:szCs w:val="21"/>
              </w:rPr>
            </w:pPr>
            <w:r>
              <w:rPr>
                <w:rFonts w:hint="eastAsia"/>
                <w:sz w:val="21"/>
                <w:szCs w:val="21"/>
              </w:rPr>
              <w:t>编制绿色建筑设计、评价等技术标准，开展装配式建筑、</w:t>
            </w:r>
            <w:r>
              <w:rPr>
                <w:sz w:val="21"/>
                <w:szCs w:val="21"/>
              </w:rPr>
              <w:t>BIM</w:t>
            </w:r>
            <w:r>
              <w:rPr>
                <w:rFonts w:hint="eastAsia"/>
                <w:sz w:val="21"/>
                <w:szCs w:val="21"/>
              </w:rPr>
              <w:t>应用等领域标准研究，加快构建沈阳现代建筑标准体系</w:t>
            </w:r>
          </w:p>
        </w:tc>
        <w:tc>
          <w:tcPr>
            <w:tcW w:w="386" w:type="pct"/>
            <w:tcBorders>
              <w:top w:val="single" w:color="auto" w:sz="4" w:space="0"/>
              <w:left w:val="nil"/>
              <w:bottom w:val="single" w:color="auto" w:sz="4" w:space="0"/>
              <w:right w:val="single" w:color="auto" w:sz="4" w:space="0"/>
            </w:tcBorders>
            <w:shd w:val="clear" w:color="auto" w:fill="auto"/>
            <w:noWrap/>
            <w:vAlign w:val="center"/>
          </w:tcPr>
          <w:p w14:paraId="57B3AA6F">
            <w:pPr>
              <w:ind w:firstLine="0" w:firstLineChars="0"/>
              <w:rPr>
                <w:sz w:val="21"/>
                <w:szCs w:val="21"/>
              </w:rPr>
            </w:pPr>
            <w:r>
              <w:rPr>
                <w:rFonts w:hint="eastAsia"/>
                <w:sz w:val="21"/>
                <w:szCs w:val="21"/>
              </w:rPr>
              <w:t>优化建设标准</w:t>
            </w:r>
          </w:p>
        </w:tc>
        <w:tc>
          <w:tcPr>
            <w:tcW w:w="169" w:type="pct"/>
            <w:tcBorders>
              <w:top w:val="single" w:color="auto" w:sz="4" w:space="0"/>
              <w:left w:val="nil"/>
              <w:bottom w:val="single" w:color="auto" w:sz="4" w:space="0"/>
              <w:right w:val="single" w:color="auto" w:sz="4" w:space="0"/>
            </w:tcBorders>
            <w:shd w:val="clear" w:color="auto" w:fill="auto"/>
            <w:noWrap/>
            <w:vAlign w:val="center"/>
          </w:tcPr>
          <w:p w14:paraId="243A5B99">
            <w:pPr>
              <w:ind w:firstLine="0" w:firstLineChars="0"/>
              <w:rPr>
                <w:sz w:val="21"/>
                <w:szCs w:val="21"/>
              </w:rPr>
            </w:pPr>
            <w:r>
              <w:rPr>
                <w:rFonts w:hint="eastAsia"/>
                <w:sz w:val="21"/>
                <w:szCs w:val="21"/>
              </w:rPr>
              <w:t>沈阳市</w:t>
            </w:r>
          </w:p>
        </w:tc>
        <w:tc>
          <w:tcPr>
            <w:tcW w:w="1143" w:type="pct"/>
            <w:tcBorders>
              <w:top w:val="single" w:color="auto" w:sz="4" w:space="0"/>
              <w:left w:val="nil"/>
              <w:bottom w:val="single" w:color="auto" w:sz="4" w:space="0"/>
              <w:right w:val="single" w:color="auto" w:sz="4" w:space="0"/>
            </w:tcBorders>
            <w:shd w:val="clear" w:color="auto" w:fill="auto"/>
            <w:vAlign w:val="center"/>
          </w:tcPr>
          <w:p w14:paraId="399A9DEB">
            <w:pPr>
              <w:ind w:firstLine="0" w:firstLineChars="0"/>
              <w:rPr>
                <w:sz w:val="21"/>
                <w:szCs w:val="21"/>
              </w:rPr>
            </w:pPr>
            <w:r>
              <w:rPr>
                <w:rFonts w:hint="eastAsia"/>
                <w:sz w:val="21"/>
                <w:szCs w:val="21"/>
              </w:rPr>
              <w:t>《沈阳市建设国家标准化改革创新先行区实施方案》</w:t>
            </w:r>
          </w:p>
        </w:tc>
      </w:tr>
      <w:tr w14:paraId="37C4A070">
        <w:tblPrEx>
          <w:tblCellMar>
            <w:top w:w="0" w:type="dxa"/>
            <w:left w:w="108" w:type="dxa"/>
            <w:bottom w:w="0" w:type="dxa"/>
            <w:right w:w="108" w:type="dxa"/>
          </w:tblCellMar>
        </w:tblPrEx>
        <w:trPr>
          <w:trHeight w:val="735"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DB36D3">
            <w:pPr>
              <w:ind w:firstLine="0" w:firstLineChars="0"/>
              <w:rPr>
                <w:sz w:val="21"/>
                <w:szCs w:val="21"/>
              </w:rPr>
            </w:pPr>
            <w:r>
              <w:rPr>
                <w:rFonts w:hint="eastAsia"/>
                <w:sz w:val="21"/>
                <w:szCs w:val="21"/>
              </w:rPr>
              <w:t>大力推广可再生能源在建筑上的应用，鼓励利用太阳能、浅层地热能、空气热能、工业余热等解决建筑用能需求</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567869">
            <w:pPr>
              <w:ind w:firstLine="0" w:firstLineChars="0"/>
              <w:rPr>
                <w:sz w:val="21"/>
                <w:szCs w:val="21"/>
              </w:rPr>
            </w:pPr>
            <w:r>
              <w:rPr>
                <w:rFonts w:hint="eastAsia"/>
                <w:sz w:val="21"/>
                <w:szCs w:val="21"/>
              </w:rPr>
              <w:t>可再生能源应用</w:t>
            </w:r>
          </w:p>
        </w:tc>
        <w:tc>
          <w:tcPr>
            <w:tcW w:w="1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7CA4C2">
            <w:pPr>
              <w:ind w:firstLine="0" w:firstLineChars="0"/>
              <w:rPr>
                <w:sz w:val="21"/>
                <w:szCs w:val="21"/>
              </w:rPr>
            </w:pPr>
            <w:r>
              <w:rPr>
                <w:rFonts w:hint="eastAsia"/>
                <w:sz w:val="21"/>
                <w:szCs w:val="21"/>
              </w:rPr>
              <w:t>辽宁省</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3CBACFAA">
            <w:pPr>
              <w:ind w:firstLine="0" w:firstLineChars="0"/>
              <w:rPr>
                <w:sz w:val="21"/>
                <w:szCs w:val="21"/>
              </w:rPr>
            </w:pPr>
            <w:r>
              <w:rPr>
                <w:rFonts w:hint="eastAsia"/>
                <w:sz w:val="21"/>
                <w:szCs w:val="21"/>
              </w:rPr>
              <w:t>《辽宁省</w:t>
            </w:r>
            <w:r>
              <w:rPr>
                <w:sz w:val="21"/>
                <w:szCs w:val="21"/>
              </w:rPr>
              <w:t>“</w:t>
            </w:r>
            <w:r>
              <w:rPr>
                <w:rFonts w:hint="eastAsia"/>
                <w:sz w:val="21"/>
                <w:szCs w:val="21"/>
              </w:rPr>
              <w:t>十三五</w:t>
            </w:r>
            <w:r>
              <w:rPr>
                <w:sz w:val="21"/>
                <w:szCs w:val="21"/>
              </w:rPr>
              <w:t>”</w:t>
            </w:r>
            <w:r>
              <w:rPr>
                <w:rFonts w:hint="eastAsia"/>
                <w:sz w:val="21"/>
                <w:szCs w:val="21"/>
              </w:rPr>
              <w:t>节能减排综合工作实施方案》</w:t>
            </w:r>
          </w:p>
        </w:tc>
      </w:tr>
      <w:tr w14:paraId="6D0E39F0">
        <w:tblPrEx>
          <w:tblCellMar>
            <w:top w:w="0" w:type="dxa"/>
            <w:left w:w="108" w:type="dxa"/>
            <w:bottom w:w="0" w:type="dxa"/>
            <w:right w:w="108" w:type="dxa"/>
          </w:tblCellMar>
        </w:tblPrEx>
        <w:trPr>
          <w:trHeight w:val="75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5EA8C0">
            <w:pPr>
              <w:ind w:firstLine="0" w:firstLineChars="0"/>
              <w:rPr>
                <w:sz w:val="21"/>
                <w:szCs w:val="21"/>
              </w:rPr>
            </w:pPr>
            <w:r>
              <w:rPr>
                <w:rFonts w:hint="eastAsia"/>
                <w:sz w:val="21"/>
                <w:szCs w:val="21"/>
              </w:rPr>
              <w:t>完成可再生能源建筑应用面积</w:t>
            </w:r>
            <w:r>
              <w:rPr>
                <w:sz w:val="21"/>
                <w:szCs w:val="21"/>
              </w:rPr>
              <w:t>4000</w:t>
            </w:r>
            <w:r>
              <w:rPr>
                <w:rFonts w:hint="eastAsia"/>
                <w:sz w:val="21"/>
                <w:szCs w:val="21"/>
              </w:rPr>
              <w:t>万平方米</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014BC2D7">
            <w:pPr>
              <w:ind w:firstLine="0" w:firstLineChars="0"/>
              <w:rPr>
                <w:sz w:val="21"/>
                <w:szCs w:val="21"/>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14:paraId="126291D9">
            <w:pPr>
              <w:ind w:firstLine="0" w:firstLineChars="0"/>
              <w:rPr>
                <w:sz w:val="21"/>
                <w:szCs w:val="21"/>
              </w:rPr>
            </w:pP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621A536E">
            <w:pPr>
              <w:ind w:firstLine="0" w:firstLineChars="0"/>
              <w:rPr>
                <w:sz w:val="21"/>
                <w:szCs w:val="21"/>
              </w:rPr>
            </w:pPr>
            <w:r>
              <w:rPr>
                <w:rFonts w:hint="eastAsia"/>
                <w:sz w:val="21"/>
                <w:szCs w:val="21"/>
              </w:rPr>
              <w:t>《辽宁省住房和城乡建设事业发展</w:t>
            </w:r>
            <w:r>
              <w:rPr>
                <w:sz w:val="21"/>
                <w:szCs w:val="21"/>
              </w:rPr>
              <w:t>“</w:t>
            </w:r>
            <w:r>
              <w:rPr>
                <w:rFonts w:hint="eastAsia"/>
                <w:sz w:val="21"/>
                <w:szCs w:val="21"/>
              </w:rPr>
              <w:t>十三五</w:t>
            </w:r>
            <w:r>
              <w:rPr>
                <w:sz w:val="21"/>
                <w:szCs w:val="21"/>
              </w:rPr>
              <w:t>”</w:t>
            </w:r>
            <w:r>
              <w:rPr>
                <w:rFonts w:hint="eastAsia"/>
                <w:sz w:val="21"/>
                <w:szCs w:val="21"/>
              </w:rPr>
              <w:t>规划》</w:t>
            </w:r>
          </w:p>
        </w:tc>
      </w:tr>
      <w:tr w14:paraId="160962C8">
        <w:tblPrEx>
          <w:tblCellMar>
            <w:top w:w="0" w:type="dxa"/>
            <w:left w:w="108" w:type="dxa"/>
            <w:bottom w:w="0" w:type="dxa"/>
            <w:right w:w="108" w:type="dxa"/>
          </w:tblCellMar>
        </w:tblPrEx>
        <w:trPr>
          <w:trHeight w:val="735"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C8DF3">
            <w:pPr>
              <w:ind w:firstLine="0" w:firstLineChars="0"/>
              <w:rPr>
                <w:sz w:val="21"/>
                <w:szCs w:val="21"/>
              </w:rPr>
            </w:pPr>
            <w:r>
              <w:rPr>
                <w:rFonts w:hint="eastAsia"/>
                <w:sz w:val="21"/>
                <w:szCs w:val="21"/>
              </w:rPr>
              <w:t>推动公共机构能源审计试点</w:t>
            </w:r>
          </w:p>
        </w:tc>
        <w:tc>
          <w:tcPr>
            <w:tcW w:w="386" w:type="pct"/>
            <w:tcBorders>
              <w:top w:val="single" w:color="auto" w:sz="4" w:space="0"/>
              <w:left w:val="nil"/>
              <w:bottom w:val="single" w:color="auto" w:sz="4" w:space="0"/>
              <w:right w:val="single" w:color="auto" w:sz="4" w:space="0"/>
            </w:tcBorders>
            <w:shd w:val="clear" w:color="auto" w:fill="auto"/>
            <w:noWrap/>
            <w:vAlign w:val="center"/>
          </w:tcPr>
          <w:p w14:paraId="22742329">
            <w:pPr>
              <w:ind w:firstLine="0" w:firstLineChars="0"/>
              <w:rPr>
                <w:sz w:val="21"/>
                <w:szCs w:val="21"/>
              </w:rPr>
            </w:pPr>
            <w:r>
              <w:rPr>
                <w:rFonts w:hint="eastAsia"/>
                <w:sz w:val="21"/>
                <w:szCs w:val="21"/>
              </w:rPr>
              <w:t>能源审计</w:t>
            </w:r>
          </w:p>
        </w:tc>
        <w:tc>
          <w:tcPr>
            <w:tcW w:w="169" w:type="pct"/>
            <w:tcBorders>
              <w:top w:val="single" w:color="auto" w:sz="4" w:space="0"/>
              <w:left w:val="nil"/>
              <w:bottom w:val="single" w:color="auto" w:sz="4" w:space="0"/>
              <w:right w:val="single" w:color="auto" w:sz="4" w:space="0"/>
            </w:tcBorders>
            <w:shd w:val="clear" w:color="auto" w:fill="auto"/>
            <w:noWrap/>
            <w:vAlign w:val="center"/>
          </w:tcPr>
          <w:p w14:paraId="04A6265A">
            <w:pPr>
              <w:ind w:firstLine="0" w:firstLineChars="0"/>
              <w:rPr>
                <w:sz w:val="21"/>
                <w:szCs w:val="21"/>
              </w:rPr>
            </w:pPr>
            <w:r>
              <w:rPr>
                <w:rFonts w:hint="eastAsia"/>
                <w:sz w:val="21"/>
                <w:szCs w:val="21"/>
              </w:rPr>
              <w:t>辽宁省</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5CB09670">
            <w:pPr>
              <w:ind w:firstLine="0" w:firstLineChars="0"/>
              <w:rPr>
                <w:sz w:val="21"/>
                <w:szCs w:val="21"/>
              </w:rPr>
            </w:pPr>
            <w:r>
              <w:rPr>
                <w:rFonts w:hint="eastAsia"/>
                <w:sz w:val="21"/>
                <w:szCs w:val="21"/>
              </w:rPr>
              <w:t>《辽宁省</w:t>
            </w:r>
            <w:r>
              <w:rPr>
                <w:sz w:val="21"/>
                <w:szCs w:val="21"/>
              </w:rPr>
              <w:t>“</w:t>
            </w:r>
            <w:r>
              <w:rPr>
                <w:rFonts w:hint="eastAsia"/>
                <w:sz w:val="21"/>
                <w:szCs w:val="21"/>
              </w:rPr>
              <w:t>十三五</w:t>
            </w:r>
            <w:r>
              <w:rPr>
                <w:sz w:val="21"/>
                <w:szCs w:val="21"/>
              </w:rPr>
              <w:t>”</w:t>
            </w:r>
            <w:r>
              <w:rPr>
                <w:rFonts w:hint="eastAsia"/>
                <w:sz w:val="21"/>
                <w:szCs w:val="21"/>
              </w:rPr>
              <w:t>节能减排综合工作实施方案》</w:t>
            </w:r>
          </w:p>
        </w:tc>
      </w:tr>
      <w:tr w14:paraId="3D07C2FC">
        <w:tblPrEx>
          <w:tblCellMar>
            <w:top w:w="0" w:type="dxa"/>
            <w:left w:w="108" w:type="dxa"/>
            <w:bottom w:w="0" w:type="dxa"/>
            <w:right w:w="108" w:type="dxa"/>
          </w:tblCellMar>
        </w:tblPrEx>
        <w:trPr>
          <w:trHeight w:val="750"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FC045D">
            <w:pPr>
              <w:ind w:firstLine="0" w:firstLineChars="0"/>
              <w:rPr>
                <w:sz w:val="21"/>
                <w:szCs w:val="21"/>
              </w:rPr>
            </w:pPr>
            <w:r>
              <w:rPr>
                <w:rFonts w:hint="eastAsia"/>
                <w:sz w:val="21"/>
                <w:szCs w:val="21"/>
              </w:rPr>
              <w:t>建筑能耗统计报表制度进一步完善，实现省、市、县（区）统计系统互联互通</w:t>
            </w:r>
          </w:p>
        </w:tc>
        <w:tc>
          <w:tcPr>
            <w:tcW w:w="386" w:type="pct"/>
            <w:tcBorders>
              <w:top w:val="single" w:color="auto" w:sz="4" w:space="0"/>
              <w:left w:val="nil"/>
              <w:bottom w:val="single" w:color="auto" w:sz="4" w:space="0"/>
              <w:right w:val="single" w:color="auto" w:sz="4" w:space="0"/>
            </w:tcBorders>
            <w:shd w:val="clear" w:color="auto" w:fill="auto"/>
            <w:noWrap/>
            <w:vAlign w:val="center"/>
          </w:tcPr>
          <w:p w14:paraId="6D4485F9">
            <w:pPr>
              <w:ind w:firstLine="0" w:firstLineChars="0"/>
              <w:rPr>
                <w:sz w:val="21"/>
                <w:szCs w:val="21"/>
              </w:rPr>
            </w:pPr>
            <w:r>
              <w:rPr>
                <w:rFonts w:hint="eastAsia"/>
                <w:sz w:val="21"/>
                <w:szCs w:val="21"/>
              </w:rPr>
              <w:t>能耗统计</w:t>
            </w:r>
          </w:p>
        </w:tc>
        <w:tc>
          <w:tcPr>
            <w:tcW w:w="169" w:type="pct"/>
            <w:tcBorders>
              <w:top w:val="single" w:color="auto" w:sz="4" w:space="0"/>
              <w:left w:val="nil"/>
              <w:bottom w:val="single" w:color="auto" w:sz="4" w:space="0"/>
              <w:right w:val="single" w:color="auto" w:sz="4" w:space="0"/>
            </w:tcBorders>
            <w:shd w:val="clear" w:color="auto" w:fill="auto"/>
            <w:noWrap/>
            <w:vAlign w:val="center"/>
          </w:tcPr>
          <w:p w14:paraId="65D984C8">
            <w:pPr>
              <w:ind w:firstLine="0" w:firstLineChars="0"/>
              <w:rPr>
                <w:sz w:val="21"/>
                <w:szCs w:val="21"/>
              </w:rPr>
            </w:pPr>
            <w:r>
              <w:rPr>
                <w:rFonts w:hint="eastAsia"/>
                <w:sz w:val="21"/>
                <w:szCs w:val="21"/>
              </w:rPr>
              <w:t>辽宁省</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446D9358">
            <w:pPr>
              <w:ind w:firstLine="0" w:firstLineChars="0"/>
              <w:rPr>
                <w:sz w:val="21"/>
                <w:szCs w:val="21"/>
              </w:rPr>
            </w:pPr>
            <w:r>
              <w:rPr>
                <w:rFonts w:hint="eastAsia"/>
                <w:sz w:val="21"/>
                <w:szCs w:val="21"/>
              </w:rPr>
              <w:t>《辽宁省住房和城乡建设事业发展</w:t>
            </w:r>
            <w:r>
              <w:rPr>
                <w:sz w:val="21"/>
                <w:szCs w:val="21"/>
              </w:rPr>
              <w:t>“</w:t>
            </w:r>
            <w:r>
              <w:rPr>
                <w:rFonts w:hint="eastAsia"/>
                <w:sz w:val="21"/>
                <w:szCs w:val="21"/>
              </w:rPr>
              <w:t>十三五</w:t>
            </w:r>
            <w:r>
              <w:rPr>
                <w:sz w:val="21"/>
                <w:szCs w:val="21"/>
              </w:rPr>
              <w:t>”</w:t>
            </w:r>
            <w:r>
              <w:rPr>
                <w:rFonts w:hint="eastAsia"/>
                <w:sz w:val="21"/>
                <w:szCs w:val="21"/>
              </w:rPr>
              <w:t>规划》</w:t>
            </w:r>
          </w:p>
        </w:tc>
      </w:tr>
      <w:tr w14:paraId="5BDC29D3">
        <w:tblPrEx>
          <w:tblCellMar>
            <w:top w:w="0" w:type="dxa"/>
            <w:left w:w="108" w:type="dxa"/>
            <w:bottom w:w="0" w:type="dxa"/>
            <w:right w:w="108" w:type="dxa"/>
          </w:tblCellMar>
        </w:tblPrEx>
        <w:trPr>
          <w:trHeight w:val="735"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37CA3">
            <w:pPr>
              <w:ind w:firstLine="0" w:firstLineChars="0"/>
              <w:rPr>
                <w:sz w:val="21"/>
                <w:szCs w:val="21"/>
              </w:rPr>
            </w:pPr>
            <w:r>
              <w:rPr>
                <w:rFonts w:hint="eastAsia"/>
                <w:sz w:val="21"/>
                <w:szCs w:val="21"/>
              </w:rPr>
              <w:t>到</w:t>
            </w:r>
            <w:r>
              <w:rPr>
                <w:sz w:val="21"/>
                <w:szCs w:val="21"/>
              </w:rPr>
              <w:t>2020</w:t>
            </w:r>
            <w:r>
              <w:rPr>
                <w:rFonts w:hint="eastAsia"/>
                <w:sz w:val="21"/>
                <w:szCs w:val="21"/>
              </w:rPr>
              <w:t>年公共机构单位建筑面积能耗和人均能耗均比</w:t>
            </w:r>
            <w:r>
              <w:rPr>
                <w:sz w:val="21"/>
                <w:szCs w:val="21"/>
              </w:rPr>
              <w:t>2015</w:t>
            </w:r>
            <w:r>
              <w:rPr>
                <w:rFonts w:hint="eastAsia"/>
                <w:sz w:val="21"/>
                <w:szCs w:val="21"/>
              </w:rPr>
              <w:t>年下降</w:t>
            </w:r>
            <w:r>
              <w:rPr>
                <w:sz w:val="21"/>
                <w:szCs w:val="21"/>
              </w:rPr>
              <w:t>11%</w:t>
            </w:r>
          </w:p>
        </w:tc>
        <w:tc>
          <w:tcPr>
            <w:tcW w:w="386" w:type="pct"/>
            <w:tcBorders>
              <w:top w:val="single" w:color="auto" w:sz="4" w:space="0"/>
              <w:left w:val="nil"/>
              <w:bottom w:val="single" w:color="auto" w:sz="4" w:space="0"/>
              <w:right w:val="single" w:color="auto" w:sz="4" w:space="0"/>
            </w:tcBorders>
            <w:shd w:val="clear" w:color="auto" w:fill="auto"/>
            <w:noWrap/>
            <w:vAlign w:val="center"/>
          </w:tcPr>
          <w:p w14:paraId="38248DEB">
            <w:pPr>
              <w:ind w:firstLine="0" w:firstLineChars="0"/>
              <w:rPr>
                <w:sz w:val="21"/>
                <w:szCs w:val="21"/>
              </w:rPr>
            </w:pPr>
            <w:r>
              <w:rPr>
                <w:rFonts w:hint="eastAsia"/>
                <w:sz w:val="21"/>
                <w:szCs w:val="21"/>
              </w:rPr>
              <w:t>能耗目标</w:t>
            </w:r>
          </w:p>
        </w:tc>
        <w:tc>
          <w:tcPr>
            <w:tcW w:w="169" w:type="pct"/>
            <w:tcBorders>
              <w:top w:val="single" w:color="auto" w:sz="4" w:space="0"/>
              <w:left w:val="nil"/>
              <w:bottom w:val="single" w:color="auto" w:sz="4" w:space="0"/>
              <w:right w:val="single" w:color="auto" w:sz="4" w:space="0"/>
            </w:tcBorders>
            <w:shd w:val="clear" w:color="auto" w:fill="auto"/>
            <w:noWrap/>
            <w:vAlign w:val="center"/>
          </w:tcPr>
          <w:p w14:paraId="6AD0E5BA">
            <w:pPr>
              <w:ind w:firstLine="0" w:firstLineChars="0"/>
              <w:rPr>
                <w:sz w:val="21"/>
                <w:szCs w:val="21"/>
              </w:rPr>
            </w:pPr>
            <w:r>
              <w:rPr>
                <w:rFonts w:hint="eastAsia"/>
                <w:sz w:val="21"/>
                <w:szCs w:val="21"/>
              </w:rPr>
              <w:t>辽宁省</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1F126CBA">
            <w:pPr>
              <w:ind w:firstLine="0" w:firstLineChars="0"/>
              <w:rPr>
                <w:sz w:val="21"/>
                <w:szCs w:val="21"/>
              </w:rPr>
            </w:pPr>
            <w:r>
              <w:rPr>
                <w:rFonts w:hint="eastAsia"/>
                <w:sz w:val="21"/>
                <w:szCs w:val="21"/>
              </w:rPr>
              <w:t>《辽宁省</w:t>
            </w:r>
            <w:r>
              <w:rPr>
                <w:sz w:val="21"/>
                <w:szCs w:val="21"/>
              </w:rPr>
              <w:t>“</w:t>
            </w:r>
            <w:r>
              <w:rPr>
                <w:rFonts w:hint="eastAsia"/>
                <w:sz w:val="21"/>
                <w:szCs w:val="21"/>
              </w:rPr>
              <w:t>十三五</w:t>
            </w:r>
            <w:r>
              <w:rPr>
                <w:sz w:val="21"/>
                <w:szCs w:val="21"/>
              </w:rPr>
              <w:t>”</w:t>
            </w:r>
            <w:r>
              <w:rPr>
                <w:rFonts w:hint="eastAsia"/>
                <w:sz w:val="21"/>
                <w:szCs w:val="21"/>
              </w:rPr>
              <w:t>节能减排综合工作实施方案》</w:t>
            </w:r>
          </w:p>
        </w:tc>
      </w:tr>
      <w:tr w14:paraId="4D0AA863">
        <w:tblPrEx>
          <w:tblCellMar>
            <w:top w:w="0" w:type="dxa"/>
            <w:left w:w="108" w:type="dxa"/>
            <w:bottom w:w="0" w:type="dxa"/>
            <w:right w:w="108" w:type="dxa"/>
          </w:tblCellMar>
        </w:tblPrEx>
        <w:trPr>
          <w:trHeight w:val="1275" w:hRule="atLeast"/>
        </w:trPr>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5927EFB7">
            <w:pPr>
              <w:ind w:firstLine="0" w:firstLineChars="0"/>
              <w:rPr>
                <w:sz w:val="21"/>
                <w:szCs w:val="21"/>
              </w:rPr>
            </w:pPr>
            <w:r>
              <w:rPr>
                <w:rFonts w:hint="eastAsia"/>
                <w:sz w:val="21"/>
                <w:szCs w:val="21"/>
              </w:rPr>
              <w:t>到</w:t>
            </w:r>
            <w:r>
              <w:rPr>
                <w:sz w:val="21"/>
                <w:szCs w:val="21"/>
              </w:rPr>
              <w:t>2020</w:t>
            </w:r>
            <w:r>
              <w:rPr>
                <w:rFonts w:hint="eastAsia"/>
                <w:sz w:val="21"/>
                <w:szCs w:val="21"/>
              </w:rPr>
              <w:t>年，单位地区生产总值能耗比</w:t>
            </w:r>
            <w:r>
              <w:rPr>
                <w:sz w:val="21"/>
                <w:szCs w:val="21"/>
              </w:rPr>
              <w:t>2015</w:t>
            </w:r>
            <w:r>
              <w:rPr>
                <w:rFonts w:hint="eastAsia"/>
                <w:sz w:val="21"/>
                <w:szCs w:val="21"/>
              </w:rPr>
              <w:t>年下降</w:t>
            </w:r>
            <w:r>
              <w:rPr>
                <w:sz w:val="21"/>
                <w:szCs w:val="21"/>
              </w:rPr>
              <w:t>15%</w:t>
            </w:r>
            <w:r>
              <w:rPr>
                <w:rFonts w:hint="eastAsia"/>
                <w:sz w:val="21"/>
                <w:szCs w:val="21"/>
              </w:rPr>
              <w:t>，能源消费总量比</w:t>
            </w:r>
            <w:r>
              <w:rPr>
                <w:sz w:val="21"/>
                <w:szCs w:val="21"/>
              </w:rPr>
              <w:t>2015</w:t>
            </w:r>
            <w:r>
              <w:rPr>
                <w:rFonts w:hint="eastAsia"/>
                <w:sz w:val="21"/>
                <w:szCs w:val="21"/>
              </w:rPr>
              <w:t>年增加</w:t>
            </w:r>
            <w:r>
              <w:rPr>
                <w:sz w:val="21"/>
                <w:szCs w:val="21"/>
              </w:rPr>
              <w:t>620</w:t>
            </w:r>
            <w:r>
              <w:rPr>
                <w:rFonts w:hint="eastAsia"/>
                <w:sz w:val="21"/>
                <w:szCs w:val="21"/>
              </w:rPr>
              <w:t>万吨标准煤以下，建设用地规模控制在</w:t>
            </w:r>
            <w:r>
              <w:rPr>
                <w:sz w:val="21"/>
                <w:szCs w:val="21"/>
              </w:rPr>
              <w:t>2000</w:t>
            </w:r>
            <w:r>
              <w:rPr>
                <w:rFonts w:hint="eastAsia"/>
                <w:sz w:val="21"/>
                <w:szCs w:val="21"/>
              </w:rPr>
              <w:t>平方公里左右，建设用地产出率达到</w:t>
            </w:r>
            <w:r>
              <w:rPr>
                <w:sz w:val="21"/>
                <w:szCs w:val="21"/>
              </w:rPr>
              <w:t>30444</w:t>
            </w:r>
            <w:r>
              <w:rPr>
                <w:rFonts w:hint="eastAsia"/>
                <w:sz w:val="21"/>
                <w:szCs w:val="21"/>
              </w:rPr>
              <w:t>万元</w:t>
            </w:r>
            <w:r>
              <w:rPr>
                <w:sz w:val="21"/>
                <w:szCs w:val="21"/>
              </w:rPr>
              <w:t>/</w:t>
            </w:r>
            <w:r>
              <w:rPr>
                <w:rFonts w:hint="eastAsia"/>
                <w:sz w:val="21"/>
                <w:szCs w:val="21"/>
              </w:rPr>
              <w:t>平方千米，用水总量控制在</w:t>
            </w:r>
            <w:r>
              <w:rPr>
                <w:sz w:val="21"/>
                <w:szCs w:val="21"/>
              </w:rPr>
              <w:t>31.38</w:t>
            </w:r>
            <w:r>
              <w:rPr>
                <w:rFonts w:hint="eastAsia"/>
                <w:sz w:val="21"/>
                <w:szCs w:val="21"/>
              </w:rPr>
              <w:t>亿立方米以内</w:t>
            </w:r>
          </w:p>
        </w:tc>
        <w:tc>
          <w:tcPr>
            <w:tcW w:w="386" w:type="pct"/>
            <w:tcBorders>
              <w:top w:val="single" w:color="auto" w:sz="4" w:space="0"/>
              <w:left w:val="nil"/>
              <w:bottom w:val="single" w:color="auto" w:sz="4" w:space="0"/>
              <w:right w:val="single" w:color="auto" w:sz="4" w:space="0"/>
            </w:tcBorders>
            <w:shd w:val="clear" w:color="auto" w:fill="auto"/>
            <w:noWrap/>
            <w:vAlign w:val="center"/>
          </w:tcPr>
          <w:p w14:paraId="73B9BE7F">
            <w:pPr>
              <w:ind w:firstLine="0" w:firstLineChars="0"/>
              <w:rPr>
                <w:sz w:val="21"/>
                <w:szCs w:val="21"/>
              </w:rPr>
            </w:pPr>
            <w:r>
              <w:rPr>
                <w:rFonts w:hint="eastAsia"/>
                <w:sz w:val="21"/>
                <w:szCs w:val="21"/>
              </w:rPr>
              <w:t>节约资源</w:t>
            </w:r>
          </w:p>
        </w:tc>
        <w:tc>
          <w:tcPr>
            <w:tcW w:w="169" w:type="pct"/>
            <w:tcBorders>
              <w:top w:val="single" w:color="auto" w:sz="4" w:space="0"/>
              <w:left w:val="nil"/>
              <w:bottom w:val="single" w:color="auto" w:sz="4" w:space="0"/>
              <w:right w:val="single" w:color="auto" w:sz="4" w:space="0"/>
            </w:tcBorders>
            <w:shd w:val="clear" w:color="auto" w:fill="auto"/>
            <w:noWrap/>
            <w:vAlign w:val="center"/>
          </w:tcPr>
          <w:p w14:paraId="4C6BA00A">
            <w:pPr>
              <w:ind w:firstLine="0" w:firstLineChars="0"/>
              <w:rPr>
                <w:sz w:val="21"/>
                <w:szCs w:val="21"/>
              </w:rPr>
            </w:pPr>
            <w:r>
              <w:rPr>
                <w:rFonts w:hint="eastAsia"/>
                <w:sz w:val="21"/>
                <w:szCs w:val="21"/>
              </w:rPr>
              <w:t>沈阳市</w:t>
            </w:r>
          </w:p>
        </w:tc>
        <w:tc>
          <w:tcPr>
            <w:tcW w:w="1143" w:type="pct"/>
            <w:tcBorders>
              <w:top w:val="single" w:color="auto" w:sz="4" w:space="0"/>
              <w:left w:val="nil"/>
              <w:bottom w:val="single" w:color="auto" w:sz="4" w:space="0"/>
              <w:right w:val="single" w:color="auto" w:sz="4" w:space="0"/>
            </w:tcBorders>
            <w:shd w:val="clear" w:color="auto" w:fill="auto"/>
            <w:vAlign w:val="center"/>
          </w:tcPr>
          <w:p w14:paraId="37F39AF2">
            <w:pPr>
              <w:ind w:firstLine="0" w:firstLineChars="0"/>
              <w:rPr>
                <w:sz w:val="21"/>
                <w:szCs w:val="21"/>
              </w:rPr>
            </w:pPr>
            <w:r>
              <w:rPr>
                <w:rFonts w:hint="eastAsia"/>
                <w:sz w:val="21"/>
                <w:szCs w:val="21"/>
              </w:rPr>
              <w:t>《沈阳市加快推进国家循环经济示范城市建设工作方案》</w:t>
            </w:r>
          </w:p>
        </w:tc>
      </w:tr>
      <w:tr w14:paraId="5E001B0B">
        <w:tblPrEx>
          <w:tblCellMar>
            <w:top w:w="0" w:type="dxa"/>
            <w:left w:w="108" w:type="dxa"/>
            <w:bottom w:w="0" w:type="dxa"/>
            <w:right w:w="108" w:type="dxa"/>
          </w:tblCellMar>
        </w:tblPrEx>
        <w:trPr>
          <w:trHeight w:val="810" w:hRule="atLeast"/>
        </w:trPr>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3101CEFC">
            <w:pPr>
              <w:ind w:firstLine="0" w:firstLineChars="0"/>
              <w:rPr>
                <w:sz w:val="21"/>
                <w:szCs w:val="21"/>
              </w:rPr>
            </w:pPr>
            <w:r>
              <w:rPr>
                <w:sz w:val="21"/>
                <w:szCs w:val="21"/>
              </w:rPr>
              <w:t>2020</w:t>
            </w:r>
            <w:r>
              <w:rPr>
                <w:rFonts w:hint="eastAsia"/>
                <w:sz w:val="21"/>
                <w:szCs w:val="21"/>
              </w:rPr>
              <w:t>年城市建成区</w:t>
            </w:r>
            <w:r>
              <w:rPr>
                <w:sz w:val="21"/>
                <w:szCs w:val="21"/>
              </w:rPr>
              <w:t>20%</w:t>
            </w:r>
            <w:r>
              <w:rPr>
                <w:rFonts w:hint="eastAsia"/>
                <w:sz w:val="21"/>
                <w:szCs w:val="21"/>
              </w:rPr>
              <w:t>以上的面积达到海绵城市建设</w:t>
            </w: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F789B8B">
            <w:pPr>
              <w:ind w:firstLine="0" w:firstLineChars="0"/>
              <w:rPr>
                <w:sz w:val="21"/>
                <w:szCs w:val="21"/>
              </w:rPr>
            </w:pPr>
            <w:r>
              <w:rPr>
                <w:rFonts w:hint="eastAsia"/>
                <w:sz w:val="21"/>
                <w:szCs w:val="21"/>
              </w:rPr>
              <w:t>海绵城市</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4707878F">
            <w:pPr>
              <w:ind w:firstLine="0" w:firstLineChars="0"/>
              <w:rPr>
                <w:sz w:val="21"/>
                <w:szCs w:val="21"/>
              </w:rPr>
            </w:pPr>
            <w:r>
              <w:rPr>
                <w:rFonts w:hint="eastAsia"/>
                <w:sz w:val="21"/>
                <w:szCs w:val="21"/>
              </w:rPr>
              <w:t>沈阳市</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14:paraId="4F1F6B0C">
            <w:pPr>
              <w:ind w:firstLine="0" w:firstLineChars="0"/>
              <w:rPr>
                <w:sz w:val="21"/>
                <w:szCs w:val="21"/>
              </w:rPr>
            </w:pPr>
          </w:p>
        </w:tc>
      </w:tr>
      <w:tr w14:paraId="512039E5">
        <w:tblPrEx>
          <w:tblCellMar>
            <w:top w:w="0" w:type="dxa"/>
            <w:left w:w="108" w:type="dxa"/>
            <w:bottom w:w="0" w:type="dxa"/>
            <w:right w:w="108" w:type="dxa"/>
          </w:tblCellMar>
        </w:tblPrEx>
        <w:trPr>
          <w:trHeight w:val="735" w:hRule="atLeast"/>
        </w:trPr>
        <w:tc>
          <w:tcPr>
            <w:tcW w:w="3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170DF">
            <w:pPr>
              <w:ind w:firstLine="0" w:firstLineChars="0"/>
              <w:rPr>
                <w:sz w:val="21"/>
                <w:szCs w:val="21"/>
              </w:rPr>
            </w:pPr>
            <w:r>
              <w:rPr>
                <w:rFonts w:hint="eastAsia"/>
                <w:sz w:val="21"/>
                <w:szCs w:val="21"/>
              </w:rPr>
              <w:t>开展节约型公共机构示范创建活动，创建</w:t>
            </w:r>
            <w:r>
              <w:rPr>
                <w:sz w:val="21"/>
                <w:szCs w:val="21"/>
              </w:rPr>
              <w:t>120</w:t>
            </w:r>
            <w:r>
              <w:rPr>
                <w:rFonts w:hint="eastAsia"/>
                <w:sz w:val="21"/>
                <w:szCs w:val="21"/>
              </w:rPr>
              <w:t>个国家级示范单位、</w:t>
            </w:r>
            <w:r>
              <w:rPr>
                <w:sz w:val="21"/>
                <w:szCs w:val="21"/>
              </w:rPr>
              <w:t>500</w:t>
            </w:r>
            <w:r>
              <w:rPr>
                <w:rFonts w:hint="eastAsia"/>
                <w:sz w:val="21"/>
                <w:szCs w:val="21"/>
              </w:rPr>
              <w:t>个省级示范单位，实现</w:t>
            </w:r>
            <w:r>
              <w:rPr>
                <w:sz w:val="21"/>
                <w:szCs w:val="21"/>
              </w:rPr>
              <w:t>“</w:t>
            </w:r>
            <w:r>
              <w:rPr>
                <w:rFonts w:hint="eastAsia"/>
                <w:sz w:val="21"/>
                <w:szCs w:val="21"/>
              </w:rPr>
              <w:t>县县有示范</w:t>
            </w:r>
            <w:r>
              <w:rPr>
                <w:sz w:val="21"/>
                <w:szCs w:val="21"/>
              </w:rPr>
              <w:t>”</w:t>
            </w:r>
            <w:r>
              <w:rPr>
                <w:rFonts w:hint="eastAsia"/>
                <w:sz w:val="21"/>
                <w:szCs w:val="21"/>
              </w:rPr>
              <w:t>的目标</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45C54C">
            <w:pPr>
              <w:ind w:firstLine="0" w:firstLineChars="0"/>
              <w:rPr>
                <w:sz w:val="21"/>
                <w:szCs w:val="21"/>
              </w:rPr>
            </w:pPr>
            <w:r>
              <w:rPr>
                <w:rFonts w:hint="eastAsia"/>
                <w:sz w:val="21"/>
                <w:szCs w:val="21"/>
              </w:rPr>
              <w:t>行为引导</w:t>
            </w:r>
          </w:p>
        </w:tc>
        <w:tc>
          <w:tcPr>
            <w:tcW w:w="169" w:type="pct"/>
            <w:tcBorders>
              <w:top w:val="single" w:color="auto" w:sz="4" w:space="0"/>
              <w:left w:val="nil"/>
              <w:bottom w:val="single" w:color="auto" w:sz="4" w:space="0"/>
              <w:right w:val="single" w:color="auto" w:sz="4" w:space="0"/>
            </w:tcBorders>
            <w:shd w:val="clear" w:color="auto" w:fill="auto"/>
            <w:noWrap/>
            <w:vAlign w:val="center"/>
          </w:tcPr>
          <w:p w14:paraId="48E4C752">
            <w:pPr>
              <w:ind w:firstLine="0" w:firstLineChars="0"/>
              <w:rPr>
                <w:sz w:val="21"/>
                <w:szCs w:val="21"/>
              </w:rPr>
            </w:pPr>
            <w:r>
              <w:rPr>
                <w:rFonts w:hint="eastAsia"/>
                <w:sz w:val="21"/>
                <w:szCs w:val="21"/>
              </w:rPr>
              <w:t>辽宁省</w:t>
            </w:r>
          </w:p>
        </w:tc>
        <w:tc>
          <w:tcPr>
            <w:tcW w:w="1143" w:type="pct"/>
            <w:tcBorders>
              <w:top w:val="single" w:color="auto" w:sz="4" w:space="0"/>
              <w:left w:val="nil"/>
              <w:bottom w:val="single" w:color="auto" w:sz="4" w:space="0"/>
              <w:right w:val="single" w:color="auto" w:sz="4" w:space="0"/>
            </w:tcBorders>
            <w:shd w:val="clear" w:color="auto" w:fill="auto"/>
            <w:noWrap/>
            <w:vAlign w:val="center"/>
          </w:tcPr>
          <w:p w14:paraId="10BD2159">
            <w:pPr>
              <w:ind w:firstLine="0" w:firstLineChars="0"/>
              <w:rPr>
                <w:sz w:val="21"/>
                <w:szCs w:val="21"/>
              </w:rPr>
            </w:pPr>
            <w:r>
              <w:rPr>
                <w:rFonts w:hint="eastAsia"/>
                <w:sz w:val="21"/>
                <w:szCs w:val="21"/>
              </w:rPr>
              <w:t>《辽宁省</w:t>
            </w:r>
            <w:r>
              <w:rPr>
                <w:sz w:val="21"/>
                <w:szCs w:val="21"/>
              </w:rPr>
              <w:t>“</w:t>
            </w:r>
            <w:r>
              <w:rPr>
                <w:rFonts w:hint="eastAsia"/>
                <w:sz w:val="21"/>
                <w:szCs w:val="21"/>
              </w:rPr>
              <w:t>十三五</w:t>
            </w:r>
            <w:r>
              <w:rPr>
                <w:sz w:val="21"/>
                <w:szCs w:val="21"/>
              </w:rPr>
              <w:t>”</w:t>
            </w:r>
            <w:r>
              <w:rPr>
                <w:rFonts w:hint="eastAsia"/>
                <w:sz w:val="21"/>
                <w:szCs w:val="21"/>
              </w:rPr>
              <w:t>节能减排综合工作实施方案》</w:t>
            </w:r>
          </w:p>
        </w:tc>
      </w:tr>
      <w:tr w14:paraId="1E5558D6">
        <w:tblPrEx>
          <w:tblCellMar>
            <w:top w:w="0" w:type="dxa"/>
            <w:left w:w="108" w:type="dxa"/>
            <w:bottom w:w="0" w:type="dxa"/>
            <w:right w:w="108" w:type="dxa"/>
          </w:tblCellMar>
        </w:tblPrEx>
        <w:trPr>
          <w:trHeight w:val="720" w:hRule="atLeast"/>
        </w:trPr>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2CD033E1">
            <w:pPr>
              <w:ind w:firstLine="0" w:firstLineChars="0"/>
              <w:rPr>
                <w:sz w:val="21"/>
                <w:szCs w:val="21"/>
              </w:rPr>
            </w:pPr>
            <w:r>
              <w:rPr>
                <w:rFonts w:hint="eastAsia"/>
                <w:sz w:val="21"/>
                <w:szCs w:val="21"/>
              </w:rPr>
              <w:t>打造创建节约型机关、绿色家庭、绿色学校、绿色社区，倡导简约适度、绿色低碳的生活方式，引导人们做生态环境的保护者、建设者</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574FCC64">
            <w:pPr>
              <w:ind w:firstLine="0" w:firstLineChars="0"/>
              <w:rPr>
                <w:sz w:val="21"/>
                <w:szCs w:val="21"/>
              </w:rPr>
            </w:pPr>
          </w:p>
        </w:tc>
        <w:tc>
          <w:tcPr>
            <w:tcW w:w="169" w:type="pct"/>
            <w:tcBorders>
              <w:top w:val="single" w:color="auto" w:sz="4" w:space="0"/>
              <w:left w:val="nil"/>
              <w:bottom w:val="single" w:color="auto" w:sz="4" w:space="0"/>
              <w:right w:val="single" w:color="auto" w:sz="4" w:space="0"/>
            </w:tcBorders>
            <w:shd w:val="clear" w:color="auto" w:fill="auto"/>
            <w:noWrap/>
            <w:vAlign w:val="center"/>
          </w:tcPr>
          <w:p w14:paraId="72D51A47">
            <w:pPr>
              <w:ind w:firstLine="0" w:firstLineChars="0"/>
              <w:rPr>
                <w:sz w:val="21"/>
                <w:szCs w:val="21"/>
              </w:rPr>
            </w:pPr>
            <w:r>
              <w:rPr>
                <w:rFonts w:hint="eastAsia"/>
                <w:sz w:val="21"/>
                <w:szCs w:val="21"/>
              </w:rPr>
              <w:t>沈阳市</w:t>
            </w:r>
          </w:p>
        </w:tc>
        <w:tc>
          <w:tcPr>
            <w:tcW w:w="1143" w:type="pct"/>
            <w:tcBorders>
              <w:top w:val="single" w:color="auto" w:sz="4" w:space="0"/>
              <w:left w:val="nil"/>
              <w:bottom w:val="single" w:color="auto" w:sz="4" w:space="0"/>
              <w:right w:val="single" w:color="auto" w:sz="4" w:space="0"/>
            </w:tcBorders>
            <w:shd w:val="clear" w:color="auto" w:fill="auto"/>
            <w:vAlign w:val="center"/>
          </w:tcPr>
          <w:p w14:paraId="2EDAF0EB">
            <w:pPr>
              <w:ind w:firstLine="0" w:firstLineChars="0"/>
              <w:rPr>
                <w:sz w:val="21"/>
                <w:szCs w:val="21"/>
              </w:rPr>
            </w:pPr>
            <w:r>
              <w:rPr>
                <w:rFonts w:hint="eastAsia"/>
                <w:sz w:val="21"/>
                <w:szCs w:val="21"/>
              </w:rPr>
              <w:t>《贯彻落实〈新时代公民道德建设实施纲要〉实施方案》</w:t>
            </w:r>
          </w:p>
        </w:tc>
      </w:tr>
    </w:tbl>
    <w:p w14:paraId="1E77BBE3"/>
    <w:p w14:paraId="2C80D7C8">
      <w:pPr>
        <w:ind w:firstLine="0" w:firstLineChars="0"/>
        <w:sectPr>
          <w:pgSz w:w="16838" w:h="11906" w:orient="landscape"/>
          <w:pgMar w:top="1800" w:right="1440" w:bottom="1800" w:left="1440" w:header="851" w:footer="992" w:gutter="0"/>
          <w:cols w:space="425" w:num="1"/>
          <w:docGrid w:type="lines" w:linePitch="326" w:charSpace="0"/>
        </w:sectPr>
      </w:pPr>
    </w:p>
    <w:p w14:paraId="5A6811F9">
      <w:pPr>
        <w:pStyle w:val="2"/>
        <w:numPr>
          <w:ilvl w:val="0"/>
          <w:numId w:val="5"/>
        </w:numPr>
        <w:ind w:left="0" w:firstLine="0"/>
        <w:rPr>
          <w:rFonts w:ascii="黑体" w:hAnsi="黑体" w:eastAsia="黑体"/>
          <w:b w:val="0"/>
          <w:bCs w:val="0"/>
          <w:sz w:val="30"/>
          <w:szCs w:val="30"/>
        </w:rPr>
      </w:pPr>
      <w:bookmarkStart w:id="39" w:name="_Toc76743820"/>
      <w:r>
        <w:rPr>
          <w:rFonts w:hint="eastAsia" w:ascii="黑体" w:hAnsi="黑体" w:eastAsia="黑体"/>
          <w:b w:val="0"/>
          <w:bCs w:val="0"/>
          <w:sz w:val="30"/>
          <w:szCs w:val="30"/>
        </w:rPr>
        <w:t>“十四五”时期建筑节能与绿色建筑发展目标设定</w:t>
      </w:r>
      <w:bookmarkEnd w:id="39"/>
    </w:p>
    <w:p w14:paraId="01C89D48">
      <w:pPr>
        <w:snapToGrid w:val="0"/>
        <w:spacing w:before="120" w:line="360" w:lineRule="auto"/>
      </w:pPr>
      <w:bookmarkStart w:id="40" w:name="_Toc76743821"/>
    </w:p>
    <w:p w14:paraId="6D150C61">
      <w:pPr>
        <w:pStyle w:val="3"/>
        <w:ind w:left="0" w:firstLine="482"/>
        <w:rPr>
          <w:rFonts w:ascii="黑体" w:hAnsi="黑体" w:eastAsia="黑体"/>
        </w:rPr>
      </w:pPr>
      <w:r>
        <w:rPr>
          <w:rFonts w:hint="eastAsia" w:ascii="黑体" w:hAnsi="黑体" w:eastAsia="黑体"/>
        </w:rPr>
        <w:t>国家目标及政策导向</w:t>
      </w:r>
      <w:bookmarkEnd w:id="40"/>
    </w:p>
    <w:p w14:paraId="20638BDD">
      <w:pPr>
        <w:spacing w:before="156" w:beforeLines="50" w:line="360" w:lineRule="auto"/>
      </w:pPr>
      <w:r>
        <w:rPr>
          <w:rFonts w:hint="eastAsia"/>
        </w:rPr>
        <w:t>建筑节能和绿色建筑发展“十四五”专项规划（草案）提出总体目标：“绿色建筑建设规模持续扩大，发展质量效益稳步提高，绿色建材得到广泛应用，装配式建筑等新型建造方式全面推广，建筑领域绿色发展水平明显提高；新建建筑能效水平稳步提高，超低能耗建筑实现规模化推广，既有建筑节能及绿色化改造有序推进，清洁及可再生能源应用比例提高，农村建筑节能实现新突破，使我国建筑用能总量增速放缓，部分领域用能强度下降，建筑能源消费结构逐步清洁化、低碳化。”其中具体目标指出：“到</w:t>
      </w:r>
      <w:r>
        <w:t>2025年，城镇新建建筑全面执行绿色建筑</w:t>
      </w:r>
      <w:r>
        <w:rPr>
          <w:rFonts w:hint="eastAsia"/>
        </w:rPr>
        <w:t>强制性标准，绿色建材应用比重超过</w:t>
      </w:r>
      <w:r>
        <w:t>70%，装配式建筑占新</w:t>
      </w:r>
      <w:r>
        <w:rPr>
          <w:rFonts w:hint="eastAsia"/>
        </w:rPr>
        <w:t>建建筑的比例达到</w:t>
      </w:r>
      <w:r>
        <w:t>30%；超低能耗建筑在部分地区实现规模化推广，完成既有</w:t>
      </w:r>
      <w:r>
        <w:rPr>
          <w:rFonts w:hint="eastAsia"/>
        </w:rPr>
        <w:t>建筑节能绿色化改造面积</w:t>
      </w:r>
      <w:r>
        <w:t>2亿平方米以上，全国城镇既有民用建筑中节能建筑所占比例超过70%。城镇建筑用能电气化</w:t>
      </w:r>
      <w:r>
        <w:rPr>
          <w:rFonts w:hint="eastAsia"/>
        </w:rPr>
        <w:t>比例超过</w:t>
      </w:r>
      <w:r>
        <w:t>50%，可再生能源替代常规能源消耗比重超过8%。</w:t>
      </w:r>
      <w:r>
        <w:rPr>
          <w:rFonts w:hint="eastAsia"/>
        </w:rPr>
        <w:t>”</w:t>
      </w:r>
    </w:p>
    <w:p w14:paraId="363B8846">
      <w:pPr>
        <w:spacing w:before="156" w:beforeLines="50" w:line="360" w:lineRule="auto"/>
      </w:pPr>
      <w:r>
        <w:rPr>
          <w:rFonts w:hint="eastAsia"/>
        </w:rPr>
        <w:t>草案中涉及建筑节能与绿色建筑发展目标及类别见下表，表</w:t>
      </w:r>
      <w:r>
        <w:t>4-1</w:t>
      </w:r>
      <w:r>
        <w:rPr>
          <w:rFonts w:hint="eastAsia"/>
        </w:rPr>
        <w:t>为国家“十四五”时期建筑节能和绿色建筑发展主要指标。</w:t>
      </w:r>
    </w:p>
    <w:p w14:paraId="3193F7F9">
      <w:r>
        <w:t>表4-</w:t>
      </w:r>
      <w:r>
        <w:fldChar w:fldCharType="begin"/>
      </w:r>
      <w:r>
        <w:instrText xml:space="preserve"> SEQ 表4- \* ARABIC </w:instrText>
      </w:r>
      <w:r>
        <w:fldChar w:fldCharType="separate"/>
      </w:r>
      <w:r>
        <w:t>1</w:t>
      </w:r>
      <w:r>
        <w:fldChar w:fldCharType="end"/>
      </w:r>
      <w:r>
        <w:rPr>
          <w:rFonts w:hint="eastAsia"/>
        </w:rPr>
        <w:t>国家“十四五”时期建筑节能和绿色建筑发展主要指标</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5236"/>
        <w:gridCol w:w="709"/>
        <w:gridCol w:w="741"/>
        <w:gridCol w:w="1039"/>
      </w:tblGrid>
      <w:tr w14:paraId="0FD4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93FECD8">
            <w:pPr>
              <w:ind w:firstLine="0" w:firstLineChars="0"/>
              <w:jc w:val="center"/>
              <w:rPr>
                <w:b/>
                <w:bCs/>
                <w:sz w:val="21"/>
                <w:szCs w:val="21"/>
              </w:rPr>
            </w:pPr>
            <w:r>
              <w:rPr>
                <w:rFonts w:hint="eastAsia"/>
                <w:b/>
                <w:bCs/>
                <w:sz w:val="21"/>
                <w:szCs w:val="21"/>
              </w:rPr>
              <w:t>指标类别</w:t>
            </w:r>
          </w:p>
        </w:tc>
        <w:tc>
          <w:tcPr>
            <w:tcW w:w="5263" w:type="dxa"/>
            <w:vAlign w:val="center"/>
          </w:tcPr>
          <w:p w14:paraId="266226A4">
            <w:pPr>
              <w:ind w:firstLine="0" w:firstLineChars="0"/>
              <w:jc w:val="center"/>
              <w:rPr>
                <w:b/>
                <w:bCs/>
                <w:sz w:val="21"/>
                <w:szCs w:val="21"/>
              </w:rPr>
            </w:pPr>
            <w:r>
              <w:rPr>
                <w:rFonts w:hint="eastAsia"/>
                <w:b/>
                <w:bCs/>
                <w:sz w:val="21"/>
                <w:szCs w:val="21"/>
              </w:rPr>
              <w:t>主要指标</w:t>
            </w:r>
          </w:p>
        </w:tc>
        <w:tc>
          <w:tcPr>
            <w:tcW w:w="709" w:type="dxa"/>
            <w:vAlign w:val="center"/>
          </w:tcPr>
          <w:p w14:paraId="3CE2E280">
            <w:pPr>
              <w:ind w:firstLine="0" w:firstLineChars="0"/>
              <w:jc w:val="center"/>
              <w:rPr>
                <w:b/>
                <w:bCs/>
                <w:sz w:val="21"/>
                <w:szCs w:val="21"/>
              </w:rPr>
            </w:pPr>
            <w:r>
              <w:rPr>
                <w:b/>
                <w:bCs/>
                <w:sz w:val="21"/>
                <w:szCs w:val="21"/>
              </w:rPr>
              <w:t>2020</w:t>
            </w:r>
          </w:p>
        </w:tc>
        <w:tc>
          <w:tcPr>
            <w:tcW w:w="708" w:type="dxa"/>
            <w:vAlign w:val="center"/>
          </w:tcPr>
          <w:p w14:paraId="02CACE9A">
            <w:pPr>
              <w:ind w:firstLine="0" w:firstLineChars="0"/>
              <w:jc w:val="center"/>
              <w:rPr>
                <w:b/>
                <w:bCs/>
                <w:sz w:val="21"/>
                <w:szCs w:val="21"/>
              </w:rPr>
            </w:pPr>
            <w:r>
              <w:rPr>
                <w:b/>
                <w:bCs/>
                <w:sz w:val="21"/>
                <w:szCs w:val="21"/>
              </w:rPr>
              <w:t>2025</w:t>
            </w:r>
          </w:p>
        </w:tc>
        <w:tc>
          <w:tcPr>
            <w:tcW w:w="1043" w:type="dxa"/>
            <w:vAlign w:val="center"/>
          </w:tcPr>
          <w:p w14:paraId="3E4EDCA9">
            <w:pPr>
              <w:ind w:firstLine="0" w:firstLineChars="0"/>
              <w:jc w:val="center"/>
              <w:rPr>
                <w:b/>
                <w:bCs/>
                <w:sz w:val="21"/>
                <w:szCs w:val="21"/>
              </w:rPr>
            </w:pPr>
            <w:r>
              <w:rPr>
                <w:rFonts w:hint="eastAsia"/>
                <w:b/>
                <w:bCs/>
                <w:sz w:val="21"/>
                <w:szCs w:val="21"/>
              </w:rPr>
              <w:t>性质</w:t>
            </w:r>
          </w:p>
        </w:tc>
      </w:tr>
      <w:tr w14:paraId="3905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vAlign w:val="center"/>
          </w:tcPr>
          <w:p w14:paraId="0BBEF5A6">
            <w:pPr>
              <w:ind w:firstLine="0" w:firstLineChars="0"/>
              <w:jc w:val="center"/>
              <w:rPr>
                <w:sz w:val="21"/>
                <w:szCs w:val="21"/>
              </w:rPr>
            </w:pPr>
            <w:r>
              <w:rPr>
                <w:rFonts w:hint="eastAsia"/>
                <w:sz w:val="21"/>
                <w:szCs w:val="21"/>
              </w:rPr>
              <w:t>绿色发展</w:t>
            </w:r>
          </w:p>
        </w:tc>
        <w:tc>
          <w:tcPr>
            <w:tcW w:w="5263" w:type="dxa"/>
            <w:vAlign w:val="center"/>
          </w:tcPr>
          <w:p w14:paraId="2BAED877">
            <w:pPr>
              <w:ind w:firstLine="0" w:firstLineChars="0"/>
              <w:rPr>
                <w:sz w:val="21"/>
                <w:szCs w:val="21"/>
              </w:rPr>
            </w:pPr>
            <w:r>
              <w:rPr>
                <w:rFonts w:hint="eastAsia"/>
                <w:sz w:val="21"/>
                <w:szCs w:val="21"/>
              </w:rPr>
              <w:t>城镇绿色建筑占新建建筑比重（</w:t>
            </w:r>
            <w:r>
              <w:rPr>
                <w:sz w:val="21"/>
                <w:szCs w:val="21"/>
              </w:rPr>
              <w:t>%</w:t>
            </w:r>
            <w:r>
              <w:rPr>
                <w:rFonts w:hint="eastAsia"/>
                <w:sz w:val="21"/>
                <w:szCs w:val="21"/>
              </w:rPr>
              <w:t>）</w:t>
            </w:r>
          </w:p>
        </w:tc>
        <w:tc>
          <w:tcPr>
            <w:tcW w:w="709" w:type="dxa"/>
            <w:vAlign w:val="center"/>
          </w:tcPr>
          <w:p w14:paraId="5C94D09A">
            <w:pPr>
              <w:ind w:firstLine="0" w:firstLineChars="0"/>
              <w:jc w:val="center"/>
              <w:rPr>
                <w:sz w:val="21"/>
                <w:szCs w:val="21"/>
              </w:rPr>
            </w:pPr>
            <w:r>
              <w:rPr>
                <w:sz w:val="21"/>
                <w:szCs w:val="21"/>
              </w:rPr>
              <w:t>50</w:t>
            </w:r>
          </w:p>
        </w:tc>
        <w:tc>
          <w:tcPr>
            <w:tcW w:w="708" w:type="dxa"/>
            <w:vAlign w:val="center"/>
          </w:tcPr>
          <w:p w14:paraId="48E275BA">
            <w:pPr>
              <w:ind w:firstLine="0" w:firstLineChars="0"/>
              <w:jc w:val="center"/>
              <w:rPr>
                <w:sz w:val="21"/>
                <w:szCs w:val="21"/>
              </w:rPr>
            </w:pPr>
            <w:r>
              <w:rPr>
                <w:sz w:val="21"/>
                <w:szCs w:val="21"/>
              </w:rPr>
              <w:t>100</w:t>
            </w:r>
          </w:p>
        </w:tc>
        <w:tc>
          <w:tcPr>
            <w:tcW w:w="1043" w:type="dxa"/>
            <w:vAlign w:val="center"/>
          </w:tcPr>
          <w:p w14:paraId="09FCC386">
            <w:pPr>
              <w:ind w:firstLine="0" w:firstLineChars="0"/>
              <w:jc w:val="center"/>
              <w:rPr>
                <w:sz w:val="21"/>
                <w:szCs w:val="21"/>
              </w:rPr>
            </w:pPr>
            <w:r>
              <w:rPr>
                <w:rFonts w:hint="eastAsia"/>
                <w:sz w:val="21"/>
                <w:szCs w:val="21"/>
              </w:rPr>
              <w:t>约束性</w:t>
            </w:r>
          </w:p>
        </w:tc>
      </w:tr>
      <w:tr w14:paraId="7701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364977D0">
            <w:pPr>
              <w:ind w:firstLine="0" w:firstLineChars="0"/>
              <w:jc w:val="center"/>
              <w:rPr>
                <w:sz w:val="21"/>
                <w:szCs w:val="21"/>
              </w:rPr>
            </w:pPr>
          </w:p>
        </w:tc>
        <w:tc>
          <w:tcPr>
            <w:tcW w:w="5263" w:type="dxa"/>
            <w:vAlign w:val="center"/>
          </w:tcPr>
          <w:p w14:paraId="145B6692">
            <w:pPr>
              <w:ind w:firstLine="0" w:firstLineChars="0"/>
              <w:rPr>
                <w:sz w:val="21"/>
                <w:szCs w:val="21"/>
              </w:rPr>
            </w:pPr>
            <w:r>
              <w:rPr>
                <w:rFonts w:hint="eastAsia"/>
                <w:sz w:val="21"/>
                <w:szCs w:val="21"/>
              </w:rPr>
              <w:t>城镇新建建筑中绿色建材应用比例（</w:t>
            </w:r>
            <w:r>
              <w:rPr>
                <w:sz w:val="21"/>
                <w:szCs w:val="21"/>
              </w:rPr>
              <w:t>%</w:t>
            </w:r>
            <w:r>
              <w:rPr>
                <w:rFonts w:hint="eastAsia"/>
                <w:sz w:val="21"/>
                <w:szCs w:val="21"/>
              </w:rPr>
              <w:t>）</w:t>
            </w:r>
          </w:p>
        </w:tc>
        <w:tc>
          <w:tcPr>
            <w:tcW w:w="709" w:type="dxa"/>
            <w:vAlign w:val="center"/>
          </w:tcPr>
          <w:p w14:paraId="4EF2A472">
            <w:pPr>
              <w:ind w:firstLine="0" w:firstLineChars="0"/>
              <w:jc w:val="center"/>
              <w:rPr>
                <w:sz w:val="21"/>
                <w:szCs w:val="21"/>
              </w:rPr>
            </w:pPr>
            <w:r>
              <w:rPr>
                <w:sz w:val="21"/>
                <w:szCs w:val="21"/>
              </w:rPr>
              <w:t>40</w:t>
            </w:r>
          </w:p>
        </w:tc>
        <w:tc>
          <w:tcPr>
            <w:tcW w:w="708" w:type="dxa"/>
            <w:vAlign w:val="center"/>
          </w:tcPr>
          <w:p w14:paraId="3A85706A">
            <w:pPr>
              <w:ind w:firstLine="0" w:firstLineChars="0"/>
              <w:jc w:val="center"/>
              <w:rPr>
                <w:sz w:val="21"/>
                <w:szCs w:val="21"/>
              </w:rPr>
            </w:pPr>
            <w:r>
              <w:rPr>
                <w:sz w:val="21"/>
                <w:szCs w:val="21"/>
              </w:rPr>
              <w:t>70</w:t>
            </w:r>
          </w:p>
        </w:tc>
        <w:tc>
          <w:tcPr>
            <w:tcW w:w="1043" w:type="dxa"/>
            <w:vAlign w:val="center"/>
          </w:tcPr>
          <w:p w14:paraId="625F39A6">
            <w:pPr>
              <w:ind w:firstLine="0" w:firstLineChars="0"/>
              <w:jc w:val="center"/>
              <w:rPr>
                <w:sz w:val="21"/>
                <w:szCs w:val="21"/>
              </w:rPr>
            </w:pPr>
            <w:r>
              <w:rPr>
                <w:rFonts w:hint="eastAsia"/>
                <w:sz w:val="21"/>
                <w:szCs w:val="21"/>
              </w:rPr>
              <w:t>预期性</w:t>
            </w:r>
          </w:p>
        </w:tc>
      </w:tr>
      <w:tr w14:paraId="4FD6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037D7604">
            <w:pPr>
              <w:ind w:firstLine="0" w:firstLineChars="0"/>
              <w:jc w:val="center"/>
              <w:rPr>
                <w:sz w:val="21"/>
                <w:szCs w:val="21"/>
              </w:rPr>
            </w:pPr>
          </w:p>
        </w:tc>
        <w:tc>
          <w:tcPr>
            <w:tcW w:w="5263" w:type="dxa"/>
            <w:vAlign w:val="center"/>
          </w:tcPr>
          <w:p w14:paraId="539DE066">
            <w:pPr>
              <w:ind w:firstLine="0" w:firstLineChars="0"/>
              <w:rPr>
                <w:sz w:val="21"/>
                <w:szCs w:val="21"/>
              </w:rPr>
            </w:pPr>
            <w:r>
              <w:rPr>
                <w:rFonts w:hint="eastAsia"/>
                <w:sz w:val="21"/>
                <w:szCs w:val="21"/>
              </w:rPr>
              <w:t>城镇新建建筑中装配式建筑比例（</w:t>
            </w:r>
            <w:r>
              <w:rPr>
                <w:sz w:val="21"/>
                <w:szCs w:val="21"/>
              </w:rPr>
              <w:t>%</w:t>
            </w:r>
            <w:r>
              <w:rPr>
                <w:rFonts w:hint="eastAsia"/>
                <w:sz w:val="21"/>
                <w:szCs w:val="21"/>
              </w:rPr>
              <w:t>）</w:t>
            </w:r>
          </w:p>
        </w:tc>
        <w:tc>
          <w:tcPr>
            <w:tcW w:w="709" w:type="dxa"/>
            <w:vAlign w:val="center"/>
          </w:tcPr>
          <w:p w14:paraId="75698715">
            <w:pPr>
              <w:ind w:firstLine="0" w:firstLineChars="0"/>
              <w:jc w:val="center"/>
              <w:rPr>
                <w:sz w:val="21"/>
                <w:szCs w:val="21"/>
              </w:rPr>
            </w:pPr>
            <w:r>
              <w:rPr>
                <w:sz w:val="21"/>
                <w:szCs w:val="21"/>
              </w:rPr>
              <w:t>15</w:t>
            </w:r>
          </w:p>
        </w:tc>
        <w:tc>
          <w:tcPr>
            <w:tcW w:w="708" w:type="dxa"/>
            <w:vAlign w:val="center"/>
          </w:tcPr>
          <w:p w14:paraId="7A51CE97">
            <w:pPr>
              <w:ind w:firstLine="0" w:firstLineChars="0"/>
              <w:jc w:val="center"/>
              <w:rPr>
                <w:sz w:val="21"/>
                <w:szCs w:val="21"/>
              </w:rPr>
            </w:pPr>
            <w:r>
              <w:rPr>
                <w:sz w:val="21"/>
                <w:szCs w:val="21"/>
              </w:rPr>
              <w:t>30</w:t>
            </w:r>
          </w:p>
        </w:tc>
        <w:tc>
          <w:tcPr>
            <w:tcW w:w="1043" w:type="dxa"/>
            <w:vAlign w:val="center"/>
          </w:tcPr>
          <w:p w14:paraId="7DC62F83">
            <w:pPr>
              <w:ind w:firstLine="0" w:firstLineChars="0"/>
              <w:jc w:val="center"/>
              <w:rPr>
                <w:sz w:val="21"/>
                <w:szCs w:val="21"/>
              </w:rPr>
            </w:pPr>
            <w:r>
              <w:rPr>
                <w:rFonts w:hint="eastAsia"/>
                <w:sz w:val="21"/>
                <w:szCs w:val="21"/>
              </w:rPr>
              <w:t>约束性</w:t>
            </w:r>
          </w:p>
        </w:tc>
      </w:tr>
      <w:tr w14:paraId="4364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vAlign w:val="center"/>
          </w:tcPr>
          <w:p w14:paraId="1100CFDA">
            <w:pPr>
              <w:ind w:firstLine="0" w:firstLineChars="0"/>
              <w:jc w:val="center"/>
              <w:rPr>
                <w:sz w:val="21"/>
                <w:szCs w:val="21"/>
              </w:rPr>
            </w:pPr>
            <w:r>
              <w:rPr>
                <w:rFonts w:hint="eastAsia"/>
                <w:sz w:val="21"/>
                <w:szCs w:val="21"/>
              </w:rPr>
              <w:t>总量控制</w:t>
            </w:r>
          </w:p>
        </w:tc>
        <w:tc>
          <w:tcPr>
            <w:tcW w:w="5263" w:type="dxa"/>
            <w:vAlign w:val="center"/>
          </w:tcPr>
          <w:p w14:paraId="0796307C">
            <w:pPr>
              <w:ind w:firstLine="0" w:firstLineChars="0"/>
              <w:rPr>
                <w:sz w:val="21"/>
                <w:szCs w:val="21"/>
              </w:rPr>
            </w:pPr>
            <w:r>
              <w:rPr>
                <w:rFonts w:hint="eastAsia"/>
                <w:sz w:val="21"/>
                <w:szCs w:val="21"/>
              </w:rPr>
              <w:t>建筑领域能源消费总量（亿吨标准煤）</w:t>
            </w:r>
          </w:p>
        </w:tc>
        <w:tc>
          <w:tcPr>
            <w:tcW w:w="709" w:type="dxa"/>
            <w:vAlign w:val="center"/>
          </w:tcPr>
          <w:p w14:paraId="3FA2C5A9">
            <w:pPr>
              <w:ind w:firstLine="0" w:firstLineChars="0"/>
              <w:jc w:val="center"/>
              <w:rPr>
                <w:sz w:val="21"/>
                <w:szCs w:val="21"/>
              </w:rPr>
            </w:pPr>
            <w:r>
              <w:rPr>
                <w:sz w:val="21"/>
                <w:szCs w:val="21"/>
              </w:rPr>
              <w:t>10</w:t>
            </w:r>
          </w:p>
        </w:tc>
        <w:tc>
          <w:tcPr>
            <w:tcW w:w="708" w:type="dxa"/>
            <w:vAlign w:val="center"/>
          </w:tcPr>
          <w:p w14:paraId="2036A07A">
            <w:pPr>
              <w:ind w:firstLine="0" w:firstLineChars="0"/>
              <w:jc w:val="center"/>
              <w:rPr>
                <w:sz w:val="21"/>
                <w:szCs w:val="21"/>
              </w:rPr>
            </w:pPr>
            <w:r>
              <w:rPr>
                <w:sz w:val="21"/>
                <w:szCs w:val="21"/>
              </w:rPr>
              <w:t>11</w:t>
            </w:r>
          </w:p>
        </w:tc>
        <w:tc>
          <w:tcPr>
            <w:tcW w:w="1043" w:type="dxa"/>
            <w:vAlign w:val="center"/>
          </w:tcPr>
          <w:p w14:paraId="0D4DA880">
            <w:pPr>
              <w:ind w:firstLine="0" w:firstLineChars="0"/>
              <w:jc w:val="center"/>
              <w:rPr>
                <w:sz w:val="21"/>
                <w:szCs w:val="21"/>
              </w:rPr>
            </w:pPr>
            <w:r>
              <w:rPr>
                <w:rFonts w:hint="eastAsia"/>
                <w:sz w:val="21"/>
                <w:szCs w:val="21"/>
              </w:rPr>
              <w:t>预期性</w:t>
            </w:r>
          </w:p>
        </w:tc>
      </w:tr>
      <w:tr w14:paraId="2A05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4C1968AB">
            <w:pPr>
              <w:ind w:firstLine="0" w:firstLineChars="0"/>
              <w:jc w:val="center"/>
              <w:rPr>
                <w:sz w:val="21"/>
                <w:szCs w:val="21"/>
              </w:rPr>
            </w:pPr>
          </w:p>
        </w:tc>
        <w:tc>
          <w:tcPr>
            <w:tcW w:w="5263" w:type="dxa"/>
            <w:vAlign w:val="center"/>
          </w:tcPr>
          <w:p w14:paraId="47DBD17F">
            <w:pPr>
              <w:ind w:firstLine="0" w:firstLineChars="0"/>
              <w:rPr>
                <w:sz w:val="21"/>
                <w:szCs w:val="21"/>
              </w:rPr>
            </w:pPr>
            <w:r>
              <w:rPr>
                <w:rFonts w:hint="eastAsia"/>
                <w:sz w:val="21"/>
                <w:szCs w:val="21"/>
              </w:rPr>
              <w:t>建筑领域温室气体排放总量（亿吨）</w:t>
            </w:r>
          </w:p>
        </w:tc>
        <w:tc>
          <w:tcPr>
            <w:tcW w:w="709" w:type="dxa"/>
            <w:vAlign w:val="center"/>
          </w:tcPr>
          <w:p w14:paraId="0BA1C6F9">
            <w:pPr>
              <w:ind w:firstLine="0" w:firstLineChars="0"/>
              <w:jc w:val="center"/>
              <w:rPr>
                <w:sz w:val="21"/>
                <w:szCs w:val="21"/>
              </w:rPr>
            </w:pPr>
            <w:r>
              <w:rPr>
                <w:sz w:val="21"/>
                <w:szCs w:val="21"/>
              </w:rPr>
              <w:t>22</w:t>
            </w:r>
          </w:p>
        </w:tc>
        <w:tc>
          <w:tcPr>
            <w:tcW w:w="708" w:type="dxa"/>
            <w:vAlign w:val="center"/>
          </w:tcPr>
          <w:p w14:paraId="7DF268BB">
            <w:pPr>
              <w:ind w:firstLine="0" w:firstLineChars="0"/>
              <w:jc w:val="center"/>
              <w:rPr>
                <w:sz w:val="21"/>
                <w:szCs w:val="21"/>
              </w:rPr>
            </w:pPr>
            <w:r>
              <w:rPr>
                <w:sz w:val="21"/>
                <w:szCs w:val="21"/>
              </w:rPr>
              <w:t>24</w:t>
            </w:r>
          </w:p>
        </w:tc>
        <w:tc>
          <w:tcPr>
            <w:tcW w:w="1043" w:type="dxa"/>
            <w:vAlign w:val="center"/>
          </w:tcPr>
          <w:p w14:paraId="6AEC593B">
            <w:pPr>
              <w:ind w:firstLine="0" w:firstLineChars="0"/>
              <w:jc w:val="center"/>
              <w:rPr>
                <w:sz w:val="21"/>
                <w:szCs w:val="21"/>
              </w:rPr>
            </w:pPr>
            <w:r>
              <w:rPr>
                <w:rFonts w:hint="eastAsia"/>
                <w:sz w:val="21"/>
                <w:szCs w:val="21"/>
              </w:rPr>
              <w:t>预期性</w:t>
            </w:r>
          </w:p>
        </w:tc>
      </w:tr>
      <w:tr w14:paraId="70A7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vAlign w:val="center"/>
          </w:tcPr>
          <w:p w14:paraId="70E8A7B1">
            <w:pPr>
              <w:ind w:firstLine="0" w:firstLineChars="0"/>
              <w:jc w:val="center"/>
              <w:rPr>
                <w:sz w:val="21"/>
                <w:szCs w:val="21"/>
              </w:rPr>
            </w:pPr>
            <w:r>
              <w:rPr>
                <w:rFonts w:hint="eastAsia"/>
                <w:sz w:val="21"/>
                <w:szCs w:val="21"/>
              </w:rPr>
              <w:t>强度控制</w:t>
            </w:r>
          </w:p>
        </w:tc>
        <w:tc>
          <w:tcPr>
            <w:tcW w:w="5263" w:type="dxa"/>
            <w:vAlign w:val="center"/>
          </w:tcPr>
          <w:p w14:paraId="7999687E">
            <w:pPr>
              <w:ind w:firstLine="0" w:firstLineChars="0"/>
              <w:rPr>
                <w:sz w:val="21"/>
                <w:szCs w:val="21"/>
              </w:rPr>
            </w:pPr>
            <w:r>
              <w:rPr>
                <w:rFonts w:hint="eastAsia"/>
                <w:sz w:val="21"/>
                <w:szCs w:val="21"/>
              </w:rPr>
              <w:t>北方城镇居住建筑单位面积采暖能耗强度（公斤标准煤</w:t>
            </w:r>
            <w:r>
              <w:rPr>
                <w:sz w:val="21"/>
                <w:szCs w:val="21"/>
              </w:rPr>
              <w:t>/平方米）</w:t>
            </w:r>
          </w:p>
        </w:tc>
        <w:tc>
          <w:tcPr>
            <w:tcW w:w="709" w:type="dxa"/>
            <w:vAlign w:val="center"/>
          </w:tcPr>
          <w:p w14:paraId="55365C90">
            <w:pPr>
              <w:ind w:firstLine="0" w:firstLineChars="0"/>
              <w:jc w:val="center"/>
              <w:rPr>
                <w:sz w:val="21"/>
                <w:szCs w:val="21"/>
              </w:rPr>
            </w:pPr>
            <w:r>
              <w:rPr>
                <w:rFonts w:hint="eastAsia"/>
                <w:sz w:val="21"/>
                <w:szCs w:val="21"/>
              </w:rPr>
              <w:t>—</w:t>
            </w:r>
          </w:p>
        </w:tc>
        <w:tc>
          <w:tcPr>
            <w:tcW w:w="708" w:type="dxa"/>
            <w:vAlign w:val="center"/>
          </w:tcPr>
          <w:p w14:paraId="122D4D34">
            <w:pPr>
              <w:ind w:firstLine="0" w:firstLineChars="0"/>
              <w:jc w:val="center"/>
              <w:rPr>
                <w:sz w:val="21"/>
                <w:szCs w:val="21"/>
              </w:rPr>
            </w:pPr>
            <w:r>
              <w:rPr>
                <w:sz w:val="21"/>
                <w:szCs w:val="21"/>
              </w:rPr>
              <w:t>14</w:t>
            </w:r>
          </w:p>
        </w:tc>
        <w:tc>
          <w:tcPr>
            <w:tcW w:w="1043" w:type="dxa"/>
            <w:vAlign w:val="center"/>
          </w:tcPr>
          <w:p w14:paraId="5C8C3E8B">
            <w:pPr>
              <w:ind w:firstLine="0" w:firstLineChars="0"/>
              <w:jc w:val="center"/>
              <w:rPr>
                <w:sz w:val="21"/>
                <w:szCs w:val="21"/>
              </w:rPr>
            </w:pPr>
            <w:r>
              <w:rPr>
                <w:rFonts w:hint="eastAsia"/>
                <w:sz w:val="21"/>
                <w:szCs w:val="21"/>
              </w:rPr>
              <w:t>预期性</w:t>
            </w:r>
          </w:p>
        </w:tc>
      </w:tr>
      <w:tr w14:paraId="610C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60A61832">
            <w:pPr>
              <w:ind w:firstLine="0" w:firstLineChars="0"/>
              <w:jc w:val="center"/>
              <w:rPr>
                <w:sz w:val="21"/>
                <w:szCs w:val="21"/>
              </w:rPr>
            </w:pPr>
          </w:p>
        </w:tc>
        <w:tc>
          <w:tcPr>
            <w:tcW w:w="5263" w:type="dxa"/>
            <w:vAlign w:val="center"/>
          </w:tcPr>
          <w:p w14:paraId="687DE0DE">
            <w:pPr>
              <w:ind w:firstLine="0" w:firstLineChars="0"/>
              <w:rPr>
                <w:sz w:val="21"/>
                <w:szCs w:val="21"/>
              </w:rPr>
            </w:pPr>
            <w:r>
              <w:rPr>
                <w:rFonts w:hint="eastAsia"/>
                <w:sz w:val="21"/>
                <w:szCs w:val="21"/>
              </w:rPr>
              <w:t>城镇既有公共建筑单位面积能耗强度（公斤标准煤</w:t>
            </w:r>
            <w:r>
              <w:rPr>
                <w:sz w:val="21"/>
                <w:szCs w:val="21"/>
              </w:rPr>
              <w:t>/平方米）</w:t>
            </w:r>
          </w:p>
        </w:tc>
        <w:tc>
          <w:tcPr>
            <w:tcW w:w="709" w:type="dxa"/>
            <w:vAlign w:val="center"/>
          </w:tcPr>
          <w:p w14:paraId="0C397E16">
            <w:pPr>
              <w:ind w:firstLine="0" w:firstLineChars="0"/>
              <w:jc w:val="center"/>
              <w:rPr>
                <w:sz w:val="21"/>
                <w:szCs w:val="21"/>
              </w:rPr>
            </w:pPr>
            <w:r>
              <w:rPr>
                <w:rFonts w:hint="eastAsia"/>
                <w:sz w:val="21"/>
                <w:szCs w:val="21"/>
              </w:rPr>
              <w:t>—</w:t>
            </w:r>
          </w:p>
        </w:tc>
        <w:tc>
          <w:tcPr>
            <w:tcW w:w="708" w:type="dxa"/>
            <w:vAlign w:val="center"/>
          </w:tcPr>
          <w:p w14:paraId="1BC83881">
            <w:pPr>
              <w:ind w:firstLine="0" w:firstLineChars="0"/>
              <w:jc w:val="center"/>
              <w:rPr>
                <w:sz w:val="21"/>
                <w:szCs w:val="21"/>
              </w:rPr>
            </w:pPr>
            <w:r>
              <w:rPr>
                <w:sz w:val="21"/>
                <w:szCs w:val="21"/>
              </w:rPr>
              <w:t>26</w:t>
            </w:r>
          </w:p>
        </w:tc>
        <w:tc>
          <w:tcPr>
            <w:tcW w:w="1043" w:type="dxa"/>
            <w:vAlign w:val="center"/>
          </w:tcPr>
          <w:p w14:paraId="4589BE0E">
            <w:pPr>
              <w:ind w:firstLine="0" w:firstLineChars="0"/>
              <w:jc w:val="center"/>
              <w:rPr>
                <w:sz w:val="21"/>
                <w:szCs w:val="21"/>
              </w:rPr>
            </w:pPr>
            <w:r>
              <w:rPr>
                <w:rFonts w:hint="eastAsia"/>
                <w:sz w:val="21"/>
                <w:szCs w:val="21"/>
              </w:rPr>
              <w:t>预期性</w:t>
            </w:r>
          </w:p>
        </w:tc>
      </w:tr>
      <w:tr w14:paraId="067F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vAlign w:val="center"/>
          </w:tcPr>
          <w:p w14:paraId="7795DF24">
            <w:pPr>
              <w:ind w:firstLine="0" w:firstLineChars="0"/>
              <w:jc w:val="center"/>
              <w:rPr>
                <w:sz w:val="21"/>
                <w:szCs w:val="21"/>
              </w:rPr>
            </w:pPr>
            <w:r>
              <w:rPr>
                <w:rFonts w:hint="eastAsia"/>
                <w:sz w:val="21"/>
                <w:szCs w:val="21"/>
              </w:rPr>
              <w:t>能效提升</w:t>
            </w:r>
          </w:p>
        </w:tc>
        <w:tc>
          <w:tcPr>
            <w:tcW w:w="5263" w:type="dxa"/>
            <w:vAlign w:val="center"/>
          </w:tcPr>
          <w:p w14:paraId="2143D38E">
            <w:pPr>
              <w:tabs>
                <w:tab w:val="left" w:pos="3570"/>
              </w:tabs>
              <w:ind w:firstLine="0" w:firstLineChars="0"/>
              <w:rPr>
                <w:sz w:val="21"/>
                <w:szCs w:val="21"/>
              </w:rPr>
            </w:pPr>
            <w:r>
              <w:rPr>
                <w:rFonts w:hint="eastAsia"/>
                <w:sz w:val="21"/>
                <w:szCs w:val="21"/>
              </w:rPr>
              <w:t>城镇既有民用建筑中节能建筑所占比例（</w:t>
            </w:r>
            <w:r>
              <w:rPr>
                <w:sz w:val="21"/>
                <w:szCs w:val="21"/>
              </w:rPr>
              <w:t>%）</w:t>
            </w:r>
          </w:p>
        </w:tc>
        <w:tc>
          <w:tcPr>
            <w:tcW w:w="709" w:type="dxa"/>
            <w:vAlign w:val="center"/>
          </w:tcPr>
          <w:p w14:paraId="221EB111">
            <w:pPr>
              <w:ind w:firstLine="0" w:firstLineChars="0"/>
              <w:jc w:val="center"/>
              <w:rPr>
                <w:sz w:val="21"/>
                <w:szCs w:val="21"/>
              </w:rPr>
            </w:pPr>
            <w:r>
              <w:rPr>
                <w:rFonts w:hint="eastAsia"/>
                <w:sz w:val="21"/>
                <w:szCs w:val="21"/>
              </w:rPr>
              <w:t>—</w:t>
            </w:r>
          </w:p>
        </w:tc>
        <w:tc>
          <w:tcPr>
            <w:tcW w:w="708" w:type="dxa"/>
            <w:vAlign w:val="center"/>
          </w:tcPr>
          <w:p w14:paraId="0AA8F46C">
            <w:pPr>
              <w:ind w:firstLine="0" w:firstLineChars="0"/>
              <w:jc w:val="center"/>
              <w:rPr>
                <w:sz w:val="21"/>
                <w:szCs w:val="21"/>
              </w:rPr>
            </w:pPr>
            <w:r>
              <w:rPr>
                <w:sz w:val="21"/>
                <w:szCs w:val="21"/>
              </w:rPr>
              <w:t>[70]</w:t>
            </w:r>
          </w:p>
        </w:tc>
        <w:tc>
          <w:tcPr>
            <w:tcW w:w="1043" w:type="dxa"/>
            <w:vAlign w:val="center"/>
          </w:tcPr>
          <w:p w14:paraId="155A45F4">
            <w:pPr>
              <w:ind w:firstLine="0" w:firstLineChars="0"/>
              <w:jc w:val="center"/>
              <w:rPr>
                <w:sz w:val="21"/>
                <w:szCs w:val="21"/>
              </w:rPr>
            </w:pPr>
            <w:r>
              <w:rPr>
                <w:rFonts w:hint="eastAsia"/>
                <w:sz w:val="21"/>
                <w:szCs w:val="21"/>
              </w:rPr>
              <w:t>预期性</w:t>
            </w:r>
          </w:p>
        </w:tc>
      </w:tr>
      <w:tr w14:paraId="79E1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21469EF8">
            <w:pPr>
              <w:ind w:firstLine="0" w:firstLineChars="0"/>
              <w:jc w:val="center"/>
              <w:rPr>
                <w:sz w:val="21"/>
                <w:szCs w:val="21"/>
              </w:rPr>
            </w:pPr>
          </w:p>
        </w:tc>
        <w:tc>
          <w:tcPr>
            <w:tcW w:w="5263" w:type="dxa"/>
            <w:vAlign w:val="center"/>
          </w:tcPr>
          <w:p w14:paraId="6EAB5EBD">
            <w:pPr>
              <w:ind w:firstLine="0" w:firstLineChars="0"/>
              <w:rPr>
                <w:sz w:val="21"/>
                <w:szCs w:val="21"/>
              </w:rPr>
            </w:pPr>
            <w:r>
              <w:rPr>
                <w:rFonts w:hint="eastAsia"/>
                <w:sz w:val="21"/>
                <w:szCs w:val="21"/>
              </w:rPr>
              <w:t>超低能耗建筑推广面积（亿平方米）</w:t>
            </w:r>
          </w:p>
        </w:tc>
        <w:tc>
          <w:tcPr>
            <w:tcW w:w="709" w:type="dxa"/>
            <w:vAlign w:val="center"/>
          </w:tcPr>
          <w:p w14:paraId="42D7FAF2">
            <w:pPr>
              <w:ind w:firstLine="0" w:firstLineChars="0"/>
              <w:jc w:val="center"/>
              <w:rPr>
                <w:sz w:val="21"/>
                <w:szCs w:val="21"/>
              </w:rPr>
            </w:pPr>
            <w:r>
              <w:rPr>
                <w:rFonts w:hint="eastAsia"/>
                <w:sz w:val="21"/>
                <w:szCs w:val="21"/>
              </w:rPr>
              <w:t>—</w:t>
            </w:r>
          </w:p>
        </w:tc>
        <w:tc>
          <w:tcPr>
            <w:tcW w:w="708" w:type="dxa"/>
            <w:vAlign w:val="center"/>
          </w:tcPr>
          <w:p w14:paraId="2FF3F18B">
            <w:pPr>
              <w:ind w:firstLine="0" w:firstLineChars="0"/>
              <w:jc w:val="center"/>
              <w:rPr>
                <w:sz w:val="21"/>
                <w:szCs w:val="21"/>
              </w:rPr>
            </w:pPr>
            <w:r>
              <w:rPr>
                <w:sz w:val="21"/>
                <w:szCs w:val="21"/>
              </w:rPr>
              <w:t>[0.5]</w:t>
            </w:r>
          </w:p>
        </w:tc>
        <w:tc>
          <w:tcPr>
            <w:tcW w:w="1043" w:type="dxa"/>
            <w:vAlign w:val="center"/>
          </w:tcPr>
          <w:p w14:paraId="77DD4894">
            <w:pPr>
              <w:ind w:firstLine="0" w:firstLineChars="0"/>
              <w:jc w:val="center"/>
              <w:rPr>
                <w:sz w:val="21"/>
                <w:szCs w:val="21"/>
              </w:rPr>
            </w:pPr>
            <w:r>
              <w:rPr>
                <w:rFonts w:hint="eastAsia"/>
                <w:sz w:val="21"/>
                <w:szCs w:val="21"/>
              </w:rPr>
              <w:t>预期性</w:t>
            </w:r>
          </w:p>
        </w:tc>
      </w:tr>
      <w:tr w14:paraId="67D7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10919BF6">
            <w:pPr>
              <w:ind w:firstLine="0" w:firstLineChars="0"/>
              <w:jc w:val="center"/>
              <w:rPr>
                <w:sz w:val="21"/>
                <w:szCs w:val="21"/>
              </w:rPr>
            </w:pPr>
          </w:p>
        </w:tc>
        <w:tc>
          <w:tcPr>
            <w:tcW w:w="5263" w:type="dxa"/>
            <w:vAlign w:val="center"/>
          </w:tcPr>
          <w:p w14:paraId="4B73EB7E">
            <w:pPr>
              <w:ind w:firstLine="0" w:firstLineChars="0"/>
              <w:rPr>
                <w:sz w:val="21"/>
                <w:szCs w:val="21"/>
              </w:rPr>
            </w:pPr>
            <w:r>
              <w:rPr>
                <w:rFonts w:hint="eastAsia"/>
                <w:sz w:val="21"/>
                <w:szCs w:val="21"/>
              </w:rPr>
              <w:t>既有建筑节能绿色化改造面积（亿平方米）</w:t>
            </w:r>
          </w:p>
        </w:tc>
        <w:tc>
          <w:tcPr>
            <w:tcW w:w="709" w:type="dxa"/>
            <w:vAlign w:val="center"/>
          </w:tcPr>
          <w:p w14:paraId="5DD8ED0A">
            <w:pPr>
              <w:ind w:firstLine="0" w:firstLineChars="0"/>
              <w:jc w:val="center"/>
              <w:rPr>
                <w:sz w:val="21"/>
                <w:szCs w:val="21"/>
              </w:rPr>
            </w:pPr>
            <w:r>
              <w:rPr>
                <w:rFonts w:hint="eastAsia"/>
                <w:sz w:val="21"/>
                <w:szCs w:val="21"/>
              </w:rPr>
              <w:t>—</w:t>
            </w:r>
          </w:p>
        </w:tc>
        <w:tc>
          <w:tcPr>
            <w:tcW w:w="708" w:type="dxa"/>
            <w:vAlign w:val="center"/>
          </w:tcPr>
          <w:p w14:paraId="7DA2DB98">
            <w:pPr>
              <w:ind w:firstLine="0" w:firstLineChars="0"/>
              <w:jc w:val="center"/>
              <w:rPr>
                <w:sz w:val="21"/>
                <w:szCs w:val="21"/>
              </w:rPr>
            </w:pPr>
            <w:r>
              <w:rPr>
                <w:sz w:val="21"/>
                <w:szCs w:val="21"/>
              </w:rPr>
              <w:t>[2]</w:t>
            </w:r>
          </w:p>
        </w:tc>
        <w:tc>
          <w:tcPr>
            <w:tcW w:w="1043" w:type="dxa"/>
            <w:vAlign w:val="center"/>
          </w:tcPr>
          <w:p w14:paraId="16D360AF">
            <w:pPr>
              <w:ind w:firstLine="0" w:firstLineChars="0"/>
              <w:jc w:val="center"/>
              <w:rPr>
                <w:sz w:val="21"/>
                <w:szCs w:val="21"/>
              </w:rPr>
            </w:pPr>
            <w:r>
              <w:rPr>
                <w:rFonts w:hint="eastAsia"/>
                <w:sz w:val="21"/>
                <w:szCs w:val="21"/>
              </w:rPr>
              <w:t>预期性</w:t>
            </w:r>
          </w:p>
        </w:tc>
      </w:tr>
      <w:tr w14:paraId="26ED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vAlign w:val="center"/>
          </w:tcPr>
          <w:p w14:paraId="6E6D4506">
            <w:pPr>
              <w:ind w:firstLine="0" w:firstLineChars="0"/>
              <w:jc w:val="center"/>
              <w:rPr>
                <w:sz w:val="21"/>
                <w:szCs w:val="21"/>
              </w:rPr>
            </w:pPr>
            <w:r>
              <w:rPr>
                <w:rFonts w:hint="eastAsia"/>
                <w:sz w:val="21"/>
                <w:szCs w:val="21"/>
              </w:rPr>
              <w:t>结构优化</w:t>
            </w:r>
          </w:p>
        </w:tc>
        <w:tc>
          <w:tcPr>
            <w:tcW w:w="5263" w:type="dxa"/>
            <w:vAlign w:val="center"/>
          </w:tcPr>
          <w:p w14:paraId="5AE11E9D">
            <w:pPr>
              <w:ind w:firstLine="0" w:firstLineChars="0"/>
              <w:rPr>
                <w:sz w:val="21"/>
                <w:szCs w:val="21"/>
              </w:rPr>
            </w:pPr>
            <w:r>
              <w:rPr>
                <w:rFonts w:hint="eastAsia"/>
                <w:sz w:val="21"/>
                <w:szCs w:val="21"/>
              </w:rPr>
              <w:t>城镇建筑中可再生能源替代率（％）</w:t>
            </w:r>
          </w:p>
        </w:tc>
        <w:tc>
          <w:tcPr>
            <w:tcW w:w="709" w:type="dxa"/>
            <w:vAlign w:val="center"/>
          </w:tcPr>
          <w:p w14:paraId="3884A286">
            <w:pPr>
              <w:ind w:firstLine="0" w:firstLineChars="0"/>
              <w:jc w:val="center"/>
              <w:rPr>
                <w:sz w:val="21"/>
                <w:szCs w:val="21"/>
              </w:rPr>
            </w:pPr>
            <w:r>
              <w:rPr>
                <w:sz w:val="21"/>
                <w:szCs w:val="21"/>
              </w:rPr>
              <w:t>6</w:t>
            </w:r>
          </w:p>
        </w:tc>
        <w:tc>
          <w:tcPr>
            <w:tcW w:w="708" w:type="dxa"/>
            <w:vAlign w:val="center"/>
          </w:tcPr>
          <w:p w14:paraId="2FB90D5B">
            <w:pPr>
              <w:ind w:firstLine="0" w:firstLineChars="0"/>
              <w:jc w:val="center"/>
              <w:rPr>
                <w:sz w:val="21"/>
                <w:szCs w:val="21"/>
              </w:rPr>
            </w:pPr>
            <w:r>
              <w:rPr>
                <w:sz w:val="21"/>
                <w:szCs w:val="21"/>
              </w:rPr>
              <w:t>8</w:t>
            </w:r>
          </w:p>
        </w:tc>
        <w:tc>
          <w:tcPr>
            <w:tcW w:w="1043" w:type="dxa"/>
            <w:vAlign w:val="center"/>
          </w:tcPr>
          <w:p w14:paraId="74181A05">
            <w:pPr>
              <w:ind w:firstLine="0" w:firstLineChars="0"/>
              <w:jc w:val="center"/>
              <w:rPr>
                <w:sz w:val="21"/>
                <w:szCs w:val="21"/>
              </w:rPr>
            </w:pPr>
            <w:r>
              <w:rPr>
                <w:rFonts w:hint="eastAsia"/>
                <w:sz w:val="21"/>
                <w:szCs w:val="21"/>
              </w:rPr>
              <w:t>预期性</w:t>
            </w:r>
          </w:p>
        </w:tc>
      </w:tr>
      <w:tr w14:paraId="4287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5C88F9EF">
            <w:pPr>
              <w:ind w:firstLine="0" w:firstLineChars="0"/>
              <w:jc w:val="center"/>
              <w:rPr>
                <w:sz w:val="21"/>
                <w:szCs w:val="21"/>
              </w:rPr>
            </w:pPr>
          </w:p>
        </w:tc>
        <w:tc>
          <w:tcPr>
            <w:tcW w:w="5263" w:type="dxa"/>
            <w:vAlign w:val="center"/>
          </w:tcPr>
          <w:p w14:paraId="59278A38">
            <w:pPr>
              <w:ind w:firstLine="0" w:firstLineChars="0"/>
              <w:rPr>
                <w:sz w:val="21"/>
                <w:szCs w:val="21"/>
              </w:rPr>
            </w:pPr>
            <w:r>
              <w:rPr>
                <w:rFonts w:hint="eastAsia"/>
                <w:sz w:val="21"/>
                <w:szCs w:val="21"/>
              </w:rPr>
              <w:t>城镇建筑用能电气化比例（％）</w:t>
            </w:r>
          </w:p>
        </w:tc>
        <w:tc>
          <w:tcPr>
            <w:tcW w:w="709" w:type="dxa"/>
            <w:vAlign w:val="center"/>
          </w:tcPr>
          <w:p w14:paraId="0A28E67D">
            <w:pPr>
              <w:ind w:firstLine="0" w:firstLineChars="0"/>
              <w:jc w:val="center"/>
              <w:rPr>
                <w:sz w:val="21"/>
                <w:szCs w:val="21"/>
              </w:rPr>
            </w:pPr>
            <w:r>
              <w:rPr>
                <w:sz w:val="21"/>
                <w:szCs w:val="21"/>
              </w:rPr>
              <w:t>40</w:t>
            </w:r>
          </w:p>
        </w:tc>
        <w:tc>
          <w:tcPr>
            <w:tcW w:w="708" w:type="dxa"/>
            <w:vAlign w:val="center"/>
          </w:tcPr>
          <w:p w14:paraId="5B46E746">
            <w:pPr>
              <w:ind w:firstLine="0" w:firstLineChars="0"/>
              <w:jc w:val="center"/>
              <w:rPr>
                <w:sz w:val="21"/>
                <w:szCs w:val="21"/>
              </w:rPr>
            </w:pPr>
            <w:r>
              <w:rPr>
                <w:sz w:val="21"/>
                <w:szCs w:val="21"/>
              </w:rPr>
              <w:t>50</w:t>
            </w:r>
          </w:p>
        </w:tc>
        <w:tc>
          <w:tcPr>
            <w:tcW w:w="1043" w:type="dxa"/>
            <w:vAlign w:val="center"/>
          </w:tcPr>
          <w:p w14:paraId="3147580B">
            <w:pPr>
              <w:ind w:firstLine="0" w:firstLineChars="0"/>
              <w:jc w:val="center"/>
              <w:rPr>
                <w:sz w:val="21"/>
                <w:szCs w:val="21"/>
              </w:rPr>
            </w:pPr>
            <w:r>
              <w:rPr>
                <w:rFonts w:hint="eastAsia"/>
                <w:sz w:val="21"/>
                <w:szCs w:val="21"/>
              </w:rPr>
              <w:t>预期性</w:t>
            </w:r>
          </w:p>
        </w:tc>
      </w:tr>
    </w:tbl>
    <w:p w14:paraId="78004B94">
      <w:pPr>
        <w:spacing w:before="156" w:beforeLines="50" w:line="360" w:lineRule="auto"/>
      </w:pPr>
      <w:bookmarkStart w:id="41" w:name="_Toc76743822"/>
    </w:p>
    <w:p w14:paraId="6EEFFD36">
      <w:pPr>
        <w:spacing w:before="156" w:beforeLines="50" w:line="360" w:lineRule="auto"/>
      </w:pPr>
      <w:r>
        <w:rPr>
          <w:rFonts w:hint="eastAsia"/>
        </w:rPr>
        <w:t>此外，《国务院关于印发</w:t>
      </w:r>
      <w:r>
        <w:t>2030年前碳达峰</w:t>
      </w:r>
      <w:r>
        <w:rPr>
          <w:rFonts w:hint="eastAsia"/>
        </w:rPr>
        <w:t>行动方案的通知》指出：加快更新建筑节能、市政基础设施等标准，提高节能降碳要求；加强适用于不同气候区、不同建筑类型的节能低碳技术研发和推广，推动超低能耗建筑、低碳建筑规模化发展；加快推进居住建筑和公共建筑节能改造，持续推动老旧供热管网等市政基础设施节能降碳改造；提升城镇建筑和基础设施运行管理智能化水平，加快推广供热计量收费和合同能源管理，逐步开展公共建筑能耗限额管理；深化可再生能源建筑应用，推广光伏发电与建筑一体化应用。到</w:t>
      </w:r>
      <w:r>
        <w:t>2025年，城镇新建建筑全面执行绿色建筑标准</w:t>
      </w:r>
      <w:r>
        <w:rPr>
          <w:rFonts w:hint="eastAsia"/>
        </w:rPr>
        <w:t>；城镇建筑可再生能源替代率达到</w:t>
      </w:r>
      <w:r>
        <w:t>8%，新建公共机构建筑、新建厂房屋顶光伏覆盖率力争达到50%。</w:t>
      </w:r>
    </w:p>
    <w:p w14:paraId="77859167">
      <w:pPr>
        <w:spacing w:before="156" w:beforeLines="50" w:line="360" w:lineRule="auto"/>
      </w:pPr>
    </w:p>
    <w:p w14:paraId="680CBF15">
      <w:pPr>
        <w:pStyle w:val="3"/>
        <w:ind w:left="0" w:firstLine="482"/>
        <w:rPr>
          <w:rFonts w:ascii="黑体" w:hAnsi="黑体" w:eastAsia="黑体"/>
        </w:rPr>
      </w:pPr>
      <w:r>
        <w:rPr>
          <w:rFonts w:hint="eastAsia" w:ascii="黑体" w:hAnsi="黑体" w:eastAsia="黑体"/>
        </w:rPr>
        <w:t>辽宁省目标及政策导向</w:t>
      </w:r>
      <w:bookmarkEnd w:id="41"/>
    </w:p>
    <w:p w14:paraId="3CC37623">
      <w:pPr>
        <w:spacing w:before="156" w:beforeLines="50" w:line="360" w:lineRule="auto"/>
      </w:pPr>
      <w:r>
        <w:t>2019</w:t>
      </w:r>
      <w:r>
        <w:rPr>
          <w:rFonts w:hint="eastAsia"/>
        </w:rPr>
        <w:t>年，《辽宁省推广绿色建筑实施意见》提出：</w:t>
      </w:r>
      <w:r>
        <w:t>“</w:t>
      </w:r>
      <w:r>
        <w:rPr>
          <w:rFonts w:hint="eastAsia"/>
        </w:rPr>
        <w:t>到</w:t>
      </w:r>
      <w:r>
        <w:t>2025</w:t>
      </w:r>
      <w:r>
        <w:rPr>
          <w:rFonts w:hint="eastAsia"/>
        </w:rPr>
        <w:t>年底，城镇新建建筑中绿色建筑推广比例大幅提高，装配式建筑占新建建筑面积比例逐年提高，新建节能标准加快提升，既有建筑节能改造有序推进，可再生能源建筑应用规模逐步扩大，建筑总体能耗强度持续下降，建筑能源消费结构逐步改善，建设科技创新能力不断提升，科技成果转化推广速度进一步加快，建筑领域绿色发展水平明显提高</w:t>
      </w:r>
      <w:r>
        <w:t>”</w:t>
      </w:r>
      <w:r>
        <w:rPr>
          <w:rFonts w:hint="eastAsia"/>
        </w:rPr>
        <w:t>。</w:t>
      </w:r>
    </w:p>
    <w:p w14:paraId="3BF67ED8">
      <w:pPr>
        <w:spacing w:before="156" w:beforeLines="50" w:line="360" w:lineRule="auto"/>
      </w:pPr>
      <w:r>
        <w:rPr>
          <w:rFonts w:hint="eastAsia"/>
        </w:rPr>
        <w:t>辽宁省及沈阳市规划及政策中涉及建筑节能与绿色建筑发展目标及方向见下表，表</w:t>
      </w:r>
      <w:r>
        <w:t>4-2</w:t>
      </w:r>
      <w:r>
        <w:rPr>
          <w:rFonts w:hint="eastAsia"/>
        </w:rPr>
        <w:t>为辽宁省及沈阳市面向</w:t>
      </w:r>
      <w:r>
        <w:t>“</w:t>
      </w:r>
      <w:r>
        <w:rPr>
          <w:rFonts w:hint="eastAsia"/>
        </w:rPr>
        <w:t>十四五</w:t>
      </w:r>
      <w:r>
        <w:t>”</w:t>
      </w:r>
      <w:r>
        <w:rPr>
          <w:rFonts w:hint="eastAsia"/>
        </w:rPr>
        <w:t>建筑节能与绿色建筑目标设定情况。</w:t>
      </w:r>
    </w:p>
    <w:p w14:paraId="6FD24531">
      <w:pPr>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cols w:space="425" w:num="1"/>
          <w:docGrid w:type="lines" w:linePitch="312" w:charSpace="0"/>
        </w:sectPr>
      </w:pPr>
    </w:p>
    <w:p w14:paraId="55D1F063">
      <w:pPr>
        <w:spacing w:before="163" w:after="163"/>
      </w:pPr>
      <w:r>
        <w:rPr>
          <w:rFonts w:hint="eastAsia"/>
        </w:rPr>
        <w:t>表</w:t>
      </w:r>
      <w:r>
        <w:t xml:space="preserve">4-2 </w:t>
      </w:r>
      <w:r>
        <w:rPr>
          <w:rFonts w:hint="eastAsia"/>
        </w:rPr>
        <w:t>辽宁省及沈阳市面向</w:t>
      </w:r>
      <w:r>
        <w:t>“</w:t>
      </w:r>
      <w:r>
        <w:rPr>
          <w:rFonts w:hint="eastAsia"/>
        </w:rPr>
        <w:t>十四五</w:t>
      </w:r>
      <w:r>
        <w:t>”</w:t>
      </w:r>
      <w:r>
        <w:rPr>
          <w:rFonts w:hint="eastAsia"/>
        </w:rPr>
        <w:t>建筑节能与绿色建筑目标设定</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6"/>
        <w:gridCol w:w="1701"/>
        <w:gridCol w:w="1297"/>
        <w:gridCol w:w="3810"/>
      </w:tblGrid>
      <w:tr w14:paraId="488D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366" w:type="dxa"/>
            <w:shd w:val="clear" w:color="auto" w:fill="auto"/>
            <w:vAlign w:val="center"/>
          </w:tcPr>
          <w:p w14:paraId="798718FB">
            <w:pPr>
              <w:pStyle w:val="48"/>
              <w:spacing w:after="163"/>
              <w:rPr>
                <w:sz w:val="21"/>
              </w:rPr>
            </w:pPr>
            <w:r>
              <w:rPr>
                <w:rFonts w:hint="eastAsia"/>
                <w:sz w:val="21"/>
              </w:rPr>
              <w:t>面向</w:t>
            </w:r>
            <w:r>
              <w:rPr>
                <w:sz w:val="21"/>
              </w:rPr>
              <w:t>“</w:t>
            </w:r>
            <w:r>
              <w:rPr>
                <w:rFonts w:hint="eastAsia"/>
                <w:sz w:val="21"/>
              </w:rPr>
              <w:t>十四五</w:t>
            </w:r>
            <w:r>
              <w:rPr>
                <w:sz w:val="21"/>
              </w:rPr>
              <w:t>”</w:t>
            </w:r>
            <w:r>
              <w:rPr>
                <w:rFonts w:hint="eastAsia"/>
                <w:sz w:val="21"/>
              </w:rPr>
              <w:t>目标设定</w:t>
            </w:r>
          </w:p>
        </w:tc>
        <w:tc>
          <w:tcPr>
            <w:tcW w:w="1701" w:type="dxa"/>
            <w:shd w:val="clear" w:color="auto" w:fill="auto"/>
            <w:vAlign w:val="center"/>
          </w:tcPr>
          <w:p w14:paraId="37D439BD">
            <w:pPr>
              <w:pStyle w:val="48"/>
              <w:spacing w:after="163"/>
              <w:rPr>
                <w:sz w:val="21"/>
              </w:rPr>
            </w:pPr>
            <w:r>
              <w:rPr>
                <w:rFonts w:hint="eastAsia"/>
                <w:sz w:val="21"/>
              </w:rPr>
              <w:t>目标方向</w:t>
            </w:r>
          </w:p>
        </w:tc>
        <w:tc>
          <w:tcPr>
            <w:tcW w:w="1297" w:type="dxa"/>
            <w:shd w:val="clear" w:color="auto" w:fill="auto"/>
            <w:vAlign w:val="center"/>
          </w:tcPr>
          <w:p w14:paraId="7736C69B">
            <w:pPr>
              <w:pStyle w:val="48"/>
              <w:spacing w:after="163"/>
              <w:rPr>
                <w:sz w:val="21"/>
              </w:rPr>
            </w:pPr>
            <w:r>
              <w:rPr>
                <w:rFonts w:hint="eastAsia"/>
                <w:sz w:val="21"/>
              </w:rPr>
              <w:t>目标层级</w:t>
            </w:r>
          </w:p>
        </w:tc>
        <w:tc>
          <w:tcPr>
            <w:tcW w:w="0" w:type="auto"/>
            <w:shd w:val="clear" w:color="auto" w:fill="auto"/>
            <w:vAlign w:val="center"/>
          </w:tcPr>
          <w:p w14:paraId="6D2F2DED">
            <w:pPr>
              <w:pStyle w:val="48"/>
              <w:spacing w:after="163"/>
              <w:rPr>
                <w:sz w:val="21"/>
              </w:rPr>
            </w:pPr>
            <w:r>
              <w:rPr>
                <w:rFonts w:hint="eastAsia"/>
                <w:sz w:val="21"/>
              </w:rPr>
              <w:t>目标来源</w:t>
            </w:r>
          </w:p>
        </w:tc>
      </w:tr>
      <w:tr w14:paraId="6DBD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66" w:type="dxa"/>
            <w:shd w:val="clear" w:color="auto" w:fill="auto"/>
            <w:vAlign w:val="center"/>
          </w:tcPr>
          <w:p w14:paraId="6642CA41">
            <w:pPr>
              <w:pStyle w:val="48"/>
              <w:spacing w:after="163"/>
              <w:rPr>
                <w:b w:val="0"/>
                <w:bCs/>
                <w:sz w:val="21"/>
              </w:rPr>
            </w:pPr>
            <w:r>
              <w:rPr>
                <w:rFonts w:hint="eastAsia"/>
                <w:b w:val="0"/>
                <w:bCs/>
                <w:sz w:val="21"/>
              </w:rPr>
              <w:t>到</w:t>
            </w:r>
            <w:r>
              <w:rPr>
                <w:b w:val="0"/>
                <w:bCs/>
                <w:sz w:val="21"/>
              </w:rPr>
              <w:t>2025</w:t>
            </w:r>
            <w:r>
              <w:rPr>
                <w:rFonts w:hint="eastAsia"/>
                <w:b w:val="0"/>
                <w:bCs/>
                <w:sz w:val="21"/>
              </w:rPr>
              <w:t>年底，城镇新建建筑中绿色建筑推广比例大幅提高</w:t>
            </w:r>
          </w:p>
        </w:tc>
        <w:tc>
          <w:tcPr>
            <w:tcW w:w="1701" w:type="dxa"/>
            <w:shd w:val="clear" w:color="auto" w:fill="auto"/>
            <w:vAlign w:val="center"/>
          </w:tcPr>
          <w:p w14:paraId="04FD4B73">
            <w:pPr>
              <w:pStyle w:val="48"/>
              <w:spacing w:after="163"/>
              <w:rPr>
                <w:b w:val="0"/>
                <w:bCs/>
                <w:sz w:val="21"/>
              </w:rPr>
            </w:pPr>
            <w:r>
              <w:rPr>
                <w:rFonts w:hint="eastAsia"/>
                <w:b w:val="0"/>
                <w:bCs/>
                <w:sz w:val="21"/>
              </w:rPr>
              <w:t>绿色建筑</w:t>
            </w:r>
          </w:p>
        </w:tc>
        <w:tc>
          <w:tcPr>
            <w:tcW w:w="1297" w:type="dxa"/>
            <w:shd w:val="clear" w:color="auto" w:fill="auto"/>
            <w:vAlign w:val="center"/>
          </w:tcPr>
          <w:p w14:paraId="320A6ABA">
            <w:pPr>
              <w:pStyle w:val="48"/>
              <w:spacing w:after="163"/>
              <w:rPr>
                <w:b w:val="0"/>
                <w:bCs/>
                <w:sz w:val="21"/>
              </w:rPr>
            </w:pPr>
            <w:r>
              <w:rPr>
                <w:rFonts w:hint="eastAsia"/>
                <w:b w:val="0"/>
                <w:bCs/>
                <w:sz w:val="21"/>
              </w:rPr>
              <w:t>辽宁省</w:t>
            </w:r>
          </w:p>
        </w:tc>
        <w:tc>
          <w:tcPr>
            <w:tcW w:w="0" w:type="auto"/>
            <w:shd w:val="clear" w:color="auto" w:fill="auto"/>
            <w:vAlign w:val="center"/>
          </w:tcPr>
          <w:p w14:paraId="52B8E057">
            <w:pPr>
              <w:pStyle w:val="48"/>
              <w:spacing w:after="163"/>
              <w:rPr>
                <w:b w:val="0"/>
                <w:bCs/>
                <w:sz w:val="21"/>
              </w:rPr>
            </w:pPr>
            <w:r>
              <w:rPr>
                <w:rFonts w:hint="eastAsia"/>
                <w:b w:val="0"/>
                <w:bCs/>
                <w:sz w:val="21"/>
              </w:rPr>
              <w:t>《辽宁省推广绿色建筑实施意见》</w:t>
            </w:r>
          </w:p>
        </w:tc>
      </w:tr>
      <w:tr w14:paraId="41D0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66" w:type="dxa"/>
            <w:shd w:val="clear" w:color="auto" w:fill="auto"/>
            <w:vAlign w:val="center"/>
          </w:tcPr>
          <w:p w14:paraId="24E115FE">
            <w:pPr>
              <w:pStyle w:val="48"/>
              <w:spacing w:after="163"/>
              <w:rPr>
                <w:b w:val="0"/>
                <w:bCs/>
                <w:sz w:val="21"/>
              </w:rPr>
            </w:pPr>
            <w:r>
              <w:rPr>
                <w:rFonts w:hint="eastAsia"/>
                <w:b w:val="0"/>
                <w:bCs/>
                <w:sz w:val="21"/>
              </w:rPr>
              <w:t>装配式建筑占新建建筑面积比例逐年提高</w:t>
            </w:r>
          </w:p>
        </w:tc>
        <w:tc>
          <w:tcPr>
            <w:tcW w:w="1701" w:type="dxa"/>
            <w:shd w:val="clear" w:color="auto" w:fill="auto"/>
            <w:vAlign w:val="center"/>
          </w:tcPr>
          <w:p w14:paraId="42B87697">
            <w:pPr>
              <w:pStyle w:val="48"/>
              <w:spacing w:after="163"/>
              <w:rPr>
                <w:b w:val="0"/>
                <w:bCs/>
                <w:sz w:val="21"/>
              </w:rPr>
            </w:pPr>
            <w:r>
              <w:rPr>
                <w:rFonts w:hint="eastAsia"/>
                <w:b w:val="0"/>
                <w:bCs/>
                <w:sz w:val="21"/>
              </w:rPr>
              <w:t>建筑产业现代化</w:t>
            </w:r>
          </w:p>
        </w:tc>
        <w:tc>
          <w:tcPr>
            <w:tcW w:w="1297" w:type="dxa"/>
            <w:shd w:val="clear" w:color="auto" w:fill="auto"/>
            <w:vAlign w:val="center"/>
          </w:tcPr>
          <w:p w14:paraId="1B9C47C4">
            <w:pPr>
              <w:pStyle w:val="48"/>
              <w:spacing w:after="163"/>
              <w:rPr>
                <w:b w:val="0"/>
                <w:bCs/>
                <w:sz w:val="21"/>
              </w:rPr>
            </w:pPr>
            <w:r>
              <w:rPr>
                <w:rFonts w:hint="eastAsia"/>
                <w:b w:val="0"/>
                <w:bCs/>
                <w:sz w:val="21"/>
              </w:rPr>
              <w:t>辽宁省</w:t>
            </w:r>
          </w:p>
        </w:tc>
        <w:tc>
          <w:tcPr>
            <w:tcW w:w="0" w:type="auto"/>
            <w:shd w:val="clear" w:color="auto" w:fill="auto"/>
            <w:vAlign w:val="center"/>
          </w:tcPr>
          <w:p w14:paraId="33F71B5A">
            <w:pPr>
              <w:pStyle w:val="48"/>
              <w:spacing w:after="163"/>
              <w:rPr>
                <w:b w:val="0"/>
                <w:bCs/>
                <w:sz w:val="21"/>
              </w:rPr>
            </w:pPr>
            <w:r>
              <w:rPr>
                <w:rFonts w:hint="eastAsia"/>
                <w:b w:val="0"/>
                <w:bCs/>
                <w:sz w:val="21"/>
              </w:rPr>
              <w:t>《辽宁省推广绿色建筑实施意见》</w:t>
            </w:r>
          </w:p>
        </w:tc>
      </w:tr>
      <w:tr w14:paraId="3970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66" w:type="dxa"/>
            <w:shd w:val="clear" w:color="auto" w:fill="auto"/>
            <w:vAlign w:val="center"/>
          </w:tcPr>
          <w:p w14:paraId="462AEC0B">
            <w:pPr>
              <w:pStyle w:val="48"/>
              <w:spacing w:after="163"/>
              <w:rPr>
                <w:b w:val="0"/>
                <w:bCs/>
                <w:sz w:val="21"/>
              </w:rPr>
            </w:pPr>
            <w:r>
              <w:rPr>
                <w:rFonts w:hint="eastAsia"/>
                <w:b w:val="0"/>
                <w:bCs/>
                <w:sz w:val="21"/>
              </w:rPr>
              <w:t>新建节能标准加快提升</w:t>
            </w:r>
          </w:p>
        </w:tc>
        <w:tc>
          <w:tcPr>
            <w:tcW w:w="1701" w:type="dxa"/>
            <w:shd w:val="clear" w:color="auto" w:fill="auto"/>
            <w:vAlign w:val="center"/>
          </w:tcPr>
          <w:p w14:paraId="354B2FB3">
            <w:pPr>
              <w:pStyle w:val="48"/>
              <w:spacing w:after="163"/>
              <w:rPr>
                <w:b w:val="0"/>
                <w:bCs/>
                <w:sz w:val="21"/>
              </w:rPr>
            </w:pPr>
            <w:r>
              <w:rPr>
                <w:rFonts w:hint="eastAsia"/>
                <w:b w:val="0"/>
                <w:bCs/>
                <w:sz w:val="21"/>
              </w:rPr>
              <w:t>建筑节能</w:t>
            </w:r>
          </w:p>
        </w:tc>
        <w:tc>
          <w:tcPr>
            <w:tcW w:w="1297" w:type="dxa"/>
            <w:shd w:val="clear" w:color="auto" w:fill="auto"/>
            <w:vAlign w:val="center"/>
          </w:tcPr>
          <w:p w14:paraId="68ED854D">
            <w:pPr>
              <w:pStyle w:val="48"/>
              <w:spacing w:after="163"/>
              <w:rPr>
                <w:b w:val="0"/>
                <w:bCs/>
                <w:sz w:val="21"/>
              </w:rPr>
            </w:pPr>
            <w:r>
              <w:rPr>
                <w:rFonts w:hint="eastAsia"/>
                <w:b w:val="0"/>
                <w:bCs/>
                <w:sz w:val="21"/>
              </w:rPr>
              <w:t>辽宁省</w:t>
            </w:r>
          </w:p>
        </w:tc>
        <w:tc>
          <w:tcPr>
            <w:tcW w:w="0" w:type="auto"/>
            <w:shd w:val="clear" w:color="auto" w:fill="auto"/>
            <w:vAlign w:val="center"/>
          </w:tcPr>
          <w:p w14:paraId="053BDC1F">
            <w:pPr>
              <w:pStyle w:val="48"/>
              <w:spacing w:after="163"/>
              <w:rPr>
                <w:b w:val="0"/>
                <w:bCs/>
                <w:sz w:val="21"/>
              </w:rPr>
            </w:pPr>
            <w:r>
              <w:rPr>
                <w:rFonts w:hint="eastAsia"/>
                <w:b w:val="0"/>
                <w:bCs/>
                <w:sz w:val="21"/>
              </w:rPr>
              <w:t>《辽宁省推广绿色建筑实施意见》</w:t>
            </w:r>
          </w:p>
        </w:tc>
      </w:tr>
      <w:tr w14:paraId="5E1B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66" w:type="dxa"/>
            <w:shd w:val="clear" w:color="auto" w:fill="auto"/>
            <w:vAlign w:val="center"/>
          </w:tcPr>
          <w:p w14:paraId="5CA1290D">
            <w:pPr>
              <w:pStyle w:val="48"/>
              <w:spacing w:after="163"/>
              <w:rPr>
                <w:b w:val="0"/>
                <w:bCs/>
                <w:sz w:val="21"/>
              </w:rPr>
            </w:pPr>
            <w:r>
              <w:rPr>
                <w:rFonts w:hint="eastAsia"/>
                <w:b w:val="0"/>
                <w:bCs/>
                <w:sz w:val="21"/>
              </w:rPr>
              <w:t>既有建筑节能改造有序推进</w:t>
            </w:r>
          </w:p>
        </w:tc>
        <w:tc>
          <w:tcPr>
            <w:tcW w:w="1701" w:type="dxa"/>
            <w:vMerge w:val="restart"/>
            <w:shd w:val="clear" w:color="auto" w:fill="auto"/>
            <w:vAlign w:val="center"/>
          </w:tcPr>
          <w:p w14:paraId="4D4405CA">
            <w:pPr>
              <w:pStyle w:val="48"/>
              <w:spacing w:after="163"/>
              <w:rPr>
                <w:b w:val="0"/>
                <w:bCs/>
                <w:sz w:val="21"/>
              </w:rPr>
            </w:pPr>
            <w:r>
              <w:rPr>
                <w:rFonts w:hint="eastAsia"/>
                <w:b w:val="0"/>
                <w:bCs/>
                <w:sz w:val="21"/>
              </w:rPr>
              <w:t>改造</w:t>
            </w:r>
          </w:p>
        </w:tc>
        <w:tc>
          <w:tcPr>
            <w:tcW w:w="1297" w:type="dxa"/>
            <w:vMerge w:val="restart"/>
            <w:shd w:val="clear" w:color="auto" w:fill="auto"/>
            <w:vAlign w:val="center"/>
          </w:tcPr>
          <w:p w14:paraId="3A337785">
            <w:pPr>
              <w:pStyle w:val="48"/>
              <w:spacing w:after="163"/>
              <w:rPr>
                <w:b w:val="0"/>
                <w:bCs/>
                <w:sz w:val="21"/>
              </w:rPr>
            </w:pPr>
            <w:r>
              <w:rPr>
                <w:rFonts w:hint="eastAsia"/>
                <w:b w:val="0"/>
                <w:bCs/>
                <w:sz w:val="21"/>
              </w:rPr>
              <w:t>辽宁省</w:t>
            </w:r>
          </w:p>
        </w:tc>
        <w:tc>
          <w:tcPr>
            <w:tcW w:w="0" w:type="auto"/>
            <w:shd w:val="clear" w:color="auto" w:fill="auto"/>
            <w:vAlign w:val="center"/>
          </w:tcPr>
          <w:p w14:paraId="33A56962">
            <w:pPr>
              <w:pStyle w:val="48"/>
              <w:spacing w:after="163"/>
              <w:rPr>
                <w:b w:val="0"/>
                <w:bCs/>
                <w:sz w:val="21"/>
              </w:rPr>
            </w:pPr>
            <w:r>
              <w:rPr>
                <w:rFonts w:hint="eastAsia"/>
                <w:b w:val="0"/>
                <w:bCs/>
                <w:sz w:val="21"/>
              </w:rPr>
              <w:t>《辽宁省推广绿色建筑实施意见》</w:t>
            </w:r>
          </w:p>
        </w:tc>
      </w:tr>
      <w:tr w14:paraId="06E7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66" w:type="dxa"/>
            <w:shd w:val="clear" w:color="auto" w:fill="auto"/>
            <w:vAlign w:val="center"/>
          </w:tcPr>
          <w:p w14:paraId="65459BF8">
            <w:pPr>
              <w:pStyle w:val="48"/>
              <w:spacing w:after="163"/>
              <w:rPr>
                <w:b w:val="0"/>
                <w:bCs/>
                <w:sz w:val="21"/>
              </w:rPr>
            </w:pPr>
            <w:r>
              <w:rPr>
                <w:rFonts w:hint="eastAsia"/>
                <w:b w:val="0"/>
                <w:bCs/>
                <w:sz w:val="21"/>
              </w:rPr>
              <w:t>进一步加快推进老旧小区改造工作</w:t>
            </w:r>
          </w:p>
        </w:tc>
        <w:tc>
          <w:tcPr>
            <w:tcW w:w="1701" w:type="dxa"/>
            <w:vMerge w:val="continue"/>
            <w:shd w:val="clear" w:color="auto" w:fill="auto"/>
            <w:vAlign w:val="center"/>
          </w:tcPr>
          <w:p w14:paraId="1DFB1A2B">
            <w:pPr>
              <w:pStyle w:val="48"/>
              <w:spacing w:after="163"/>
              <w:rPr>
                <w:b w:val="0"/>
                <w:bCs/>
                <w:sz w:val="21"/>
              </w:rPr>
            </w:pPr>
          </w:p>
        </w:tc>
        <w:tc>
          <w:tcPr>
            <w:tcW w:w="1297" w:type="dxa"/>
            <w:vMerge w:val="continue"/>
            <w:shd w:val="clear" w:color="auto" w:fill="auto"/>
            <w:vAlign w:val="center"/>
          </w:tcPr>
          <w:p w14:paraId="6939732C">
            <w:pPr>
              <w:pStyle w:val="48"/>
              <w:spacing w:after="163"/>
              <w:rPr>
                <w:b w:val="0"/>
                <w:bCs/>
                <w:sz w:val="21"/>
              </w:rPr>
            </w:pPr>
          </w:p>
        </w:tc>
        <w:tc>
          <w:tcPr>
            <w:tcW w:w="0" w:type="auto"/>
            <w:shd w:val="clear" w:color="auto" w:fill="auto"/>
            <w:vAlign w:val="center"/>
          </w:tcPr>
          <w:p w14:paraId="675FBEB6">
            <w:pPr>
              <w:pStyle w:val="48"/>
              <w:spacing w:after="163"/>
              <w:rPr>
                <w:b w:val="0"/>
                <w:bCs/>
                <w:sz w:val="21"/>
              </w:rPr>
            </w:pPr>
            <w:r>
              <w:rPr>
                <w:rFonts w:hint="eastAsia"/>
                <w:b w:val="0"/>
                <w:bCs/>
                <w:sz w:val="21"/>
              </w:rPr>
              <w:t>《辽宁省城镇老旧小区改造技术导则（试行）》</w:t>
            </w:r>
          </w:p>
        </w:tc>
      </w:tr>
      <w:tr w14:paraId="2426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66" w:type="dxa"/>
            <w:shd w:val="clear" w:color="auto" w:fill="auto"/>
            <w:vAlign w:val="center"/>
          </w:tcPr>
          <w:p w14:paraId="28578D89">
            <w:pPr>
              <w:pStyle w:val="48"/>
              <w:spacing w:after="163"/>
              <w:rPr>
                <w:b w:val="0"/>
                <w:bCs/>
                <w:sz w:val="21"/>
              </w:rPr>
            </w:pPr>
            <w:r>
              <w:rPr>
                <w:rFonts w:hint="eastAsia"/>
                <w:b w:val="0"/>
                <w:bCs/>
                <w:sz w:val="21"/>
              </w:rPr>
              <w:t>可再生能源建筑应用规模逐步扩大，建筑总体能耗强度持续下降</w:t>
            </w:r>
          </w:p>
        </w:tc>
        <w:tc>
          <w:tcPr>
            <w:tcW w:w="1701" w:type="dxa"/>
            <w:vMerge w:val="restart"/>
            <w:shd w:val="clear" w:color="auto" w:fill="auto"/>
            <w:vAlign w:val="center"/>
          </w:tcPr>
          <w:p w14:paraId="07752ADC">
            <w:pPr>
              <w:pStyle w:val="48"/>
              <w:spacing w:after="163"/>
              <w:rPr>
                <w:b w:val="0"/>
                <w:bCs/>
                <w:sz w:val="21"/>
              </w:rPr>
            </w:pPr>
            <w:r>
              <w:rPr>
                <w:rFonts w:hint="eastAsia"/>
                <w:b w:val="0"/>
                <w:bCs/>
                <w:sz w:val="21"/>
              </w:rPr>
              <w:t>可再生能源</w:t>
            </w:r>
          </w:p>
        </w:tc>
        <w:tc>
          <w:tcPr>
            <w:tcW w:w="1297" w:type="dxa"/>
            <w:vMerge w:val="restart"/>
            <w:shd w:val="clear" w:color="auto" w:fill="auto"/>
            <w:vAlign w:val="center"/>
          </w:tcPr>
          <w:p w14:paraId="58D6766B">
            <w:pPr>
              <w:pStyle w:val="48"/>
              <w:spacing w:after="163"/>
              <w:rPr>
                <w:b w:val="0"/>
                <w:bCs/>
                <w:sz w:val="21"/>
              </w:rPr>
            </w:pPr>
            <w:r>
              <w:rPr>
                <w:rFonts w:hint="eastAsia"/>
                <w:b w:val="0"/>
                <w:bCs/>
                <w:sz w:val="21"/>
              </w:rPr>
              <w:t>辽宁省</w:t>
            </w:r>
          </w:p>
        </w:tc>
        <w:tc>
          <w:tcPr>
            <w:tcW w:w="0" w:type="auto"/>
            <w:shd w:val="clear" w:color="auto" w:fill="auto"/>
            <w:vAlign w:val="center"/>
          </w:tcPr>
          <w:p w14:paraId="637DAA36">
            <w:pPr>
              <w:pStyle w:val="48"/>
              <w:spacing w:after="163"/>
              <w:rPr>
                <w:b w:val="0"/>
                <w:bCs/>
                <w:sz w:val="21"/>
              </w:rPr>
            </w:pPr>
            <w:r>
              <w:rPr>
                <w:rFonts w:hint="eastAsia"/>
                <w:b w:val="0"/>
                <w:bCs/>
                <w:sz w:val="21"/>
              </w:rPr>
              <w:t>《辽宁省推广绿色建筑实施意见》</w:t>
            </w:r>
          </w:p>
        </w:tc>
      </w:tr>
      <w:tr w14:paraId="4628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66" w:type="dxa"/>
            <w:shd w:val="clear" w:color="auto" w:fill="auto"/>
            <w:vAlign w:val="center"/>
          </w:tcPr>
          <w:p w14:paraId="058F7A4E">
            <w:pPr>
              <w:pStyle w:val="48"/>
              <w:spacing w:after="163"/>
              <w:rPr>
                <w:b w:val="0"/>
                <w:bCs/>
                <w:sz w:val="21"/>
              </w:rPr>
            </w:pPr>
            <w:r>
              <w:rPr>
                <w:rFonts w:hint="eastAsia"/>
                <w:b w:val="0"/>
                <w:bCs/>
                <w:sz w:val="21"/>
              </w:rPr>
              <w:t>建筑能源消费结构逐步改善</w:t>
            </w:r>
          </w:p>
        </w:tc>
        <w:tc>
          <w:tcPr>
            <w:tcW w:w="1701" w:type="dxa"/>
            <w:vMerge w:val="continue"/>
            <w:shd w:val="clear" w:color="auto" w:fill="auto"/>
            <w:vAlign w:val="center"/>
          </w:tcPr>
          <w:p w14:paraId="61B59077">
            <w:pPr>
              <w:pStyle w:val="48"/>
              <w:spacing w:after="163"/>
              <w:rPr>
                <w:b w:val="0"/>
                <w:bCs/>
                <w:sz w:val="21"/>
              </w:rPr>
            </w:pPr>
          </w:p>
        </w:tc>
        <w:tc>
          <w:tcPr>
            <w:tcW w:w="1297" w:type="dxa"/>
            <w:vMerge w:val="continue"/>
            <w:shd w:val="clear" w:color="auto" w:fill="auto"/>
            <w:vAlign w:val="center"/>
          </w:tcPr>
          <w:p w14:paraId="2C0E584B">
            <w:pPr>
              <w:pStyle w:val="48"/>
              <w:spacing w:after="163"/>
              <w:rPr>
                <w:b w:val="0"/>
                <w:bCs/>
                <w:sz w:val="21"/>
              </w:rPr>
            </w:pPr>
          </w:p>
        </w:tc>
        <w:tc>
          <w:tcPr>
            <w:tcW w:w="0" w:type="auto"/>
            <w:shd w:val="clear" w:color="auto" w:fill="auto"/>
            <w:vAlign w:val="center"/>
          </w:tcPr>
          <w:p w14:paraId="6398BDE4">
            <w:pPr>
              <w:pStyle w:val="48"/>
              <w:spacing w:after="163"/>
              <w:rPr>
                <w:b w:val="0"/>
                <w:bCs/>
                <w:sz w:val="21"/>
              </w:rPr>
            </w:pPr>
            <w:r>
              <w:rPr>
                <w:rFonts w:hint="eastAsia"/>
                <w:b w:val="0"/>
                <w:bCs/>
                <w:sz w:val="21"/>
              </w:rPr>
              <w:t>《辽宁省推广绿色建筑实施意见》</w:t>
            </w:r>
          </w:p>
        </w:tc>
      </w:tr>
      <w:tr w14:paraId="0574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66" w:type="dxa"/>
            <w:shd w:val="clear" w:color="auto" w:fill="auto"/>
            <w:vAlign w:val="center"/>
          </w:tcPr>
          <w:p w14:paraId="254790C0">
            <w:pPr>
              <w:pStyle w:val="48"/>
              <w:spacing w:after="163"/>
              <w:rPr>
                <w:b w:val="0"/>
                <w:bCs/>
                <w:sz w:val="21"/>
              </w:rPr>
            </w:pPr>
            <w:r>
              <w:rPr>
                <w:rFonts w:hint="eastAsia"/>
                <w:b w:val="0"/>
                <w:bCs/>
                <w:sz w:val="21"/>
              </w:rPr>
              <w:t>将沈阳市建设成为区域制造业创新中心以及国内领先的绿色建筑技术研发基地</w:t>
            </w:r>
          </w:p>
        </w:tc>
        <w:tc>
          <w:tcPr>
            <w:tcW w:w="1701" w:type="dxa"/>
            <w:shd w:val="clear" w:color="auto" w:fill="auto"/>
            <w:vAlign w:val="center"/>
          </w:tcPr>
          <w:p w14:paraId="393BDB57">
            <w:pPr>
              <w:pStyle w:val="48"/>
              <w:spacing w:after="163"/>
              <w:rPr>
                <w:b w:val="0"/>
                <w:bCs/>
                <w:sz w:val="21"/>
              </w:rPr>
            </w:pPr>
            <w:r>
              <w:rPr>
                <w:rFonts w:hint="eastAsia"/>
                <w:b w:val="0"/>
                <w:bCs/>
                <w:sz w:val="21"/>
              </w:rPr>
              <w:t>技术研发</w:t>
            </w:r>
          </w:p>
        </w:tc>
        <w:tc>
          <w:tcPr>
            <w:tcW w:w="1297" w:type="dxa"/>
            <w:shd w:val="clear" w:color="auto" w:fill="auto"/>
            <w:vAlign w:val="center"/>
          </w:tcPr>
          <w:p w14:paraId="5983422E">
            <w:pPr>
              <w:pStyle w:val="48"/>
              <w:spacing w:after="163"/>
              <w:rPr>
                <w:b w:val="0"/>
                <w:bCs/>
                <w:sz w:val="21"/>
              </w:rPr>
            </w:pPr>
            <w:r>
              <w:rPr>
                <w:rFonts w:hint="eastAsia"/>
                <w:b w:val="0"/>
                <w:bCs/>
                <w:sz w:val="21"/>
              </w:rPr>
              <w:t>沈阳市</w:t>
            </w:r>
          </w:p>
        </w:tc>
        <w:tc>
          <w:tcPr>
            <w:tcW w:w="0" w:type="auto"/>
            <w:shd w:val="clear" w:color="auto" w:fill="auto"/>
            <w:vAlign w:val="center"/>
          </w:tcPr>
          <w:p w14:paraId="69CCCD42">
            <w:pPr>
              <w:pStyle w:val="48"/>
              <w:spacing w:after="163"/>
              <w:rPr>
                <w:b w:val="0"/>
                <w:bCs/>
                <w:sz w:val="21"/>
              </w:rPr>
            </w:pPr>
            <w:r>
              <w:rPr>
                <w:rFonts w:hint="eastAsia"/>
                <w:b w:val="0"/>
                <w:bCs/>
                <w:sz w:val="21"/>
              </w:rPr>
              <w:t>《沈阳市</w:t>
            </w:r>
            <w:r>
              <w:rPr>
                <w:b w:val="0"/>
                <w:bCs/>
                <w:sz w:val="21"/>
              </w:rPr>
              <w:t>“</w:t>
            </w:r>
            <w:r>
              <w:rPr>
                <w:rFonts w:hint="eastAsia"/>
                <w:b w:val="0"/>
                <w:bCs/>
                <w:sz w:val="21"/>
              </w:rPr>
              <w:t>中国制造</w:t>
            </w:r>
            <w:r>
              <w:rPr>
                <w:b w:val="0"/>
                <w:bCs/>
                <w:sz w:val="21"/>
              </w:rPr>
              <w:t>2025”</w:t>
            </w:r>
            <w:r>
              <w:rPr>
                <w:rFonts w:hint="eastAsia"/>
                <w:b w:val="0"/>
                <w:bCs/>
                <w:sz w:val="21"/>
              </w:rPr>
              <w:t>实施方案》</w:t>
            </w:r>
          </w:p>
        </w:tc>
      </w:tr>
      <w:tr w14:paraId="30AA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6" w:type="dxa"/>
            <w:shd w:val="clear" w:color="auto" w:fill="auto"/>
            <w:vAlign w:val="center"/>
          </w:tcPr>
          <w:p w14:paraId="5A98EFD2">
            <w:pPr>
              <w:pStyle w:val="48"/>
              <w:spacing w:after="163"/>
              <w:rPr>
                <w:b w:val="0"/>
                <w:bCs/>
                <w:sz w:val="21"/>
              </w:rPr>
            </w:pPr>
            <w:r>
              <w:rPr>
                <w:rFonts w:hint="eastAsia"/>
                <w:b w:val="0"/>
                <w:bCs/>
                <w:sz w:val="21"/>
              </w:rPr>
              <w:t>建设科技创新能力不断提升，科技成果转化推广速度进一步加快，建筑领域绿色发展水平明显提高</w:t>
            </w:r>
          </w:p>
        </w:tc>
        <w:tc>
          <w:tcPr>
            <w:tcW w:w="1701" w:type="dxa"/>
            <w:shd w:val="clear" w:color="auto" w:fill="auto"/>
            <w:vAlign w:val="center"/>
          </w:tcPr>
          <w:p w14:paraId="7CFFFB8B">
            <w:pPr>
              <w:pStyle w:val="48"/>
              <w:spacing w:after="163"/>
              <w:rPr>
                <w:b w:val="0"/>
                <w:bCs/>
                <w:sz w:val="21"/>
              </w:rPr>
            </w:pPr>
            <w:r>
              <w:rPr>
                <w:rFonts w:hint="eastAsia"/>
                <w:b w:val="0"/>
                <w:bCs/>
                <w:sz w:val="21"/>
              </w:rPr>
              <w:t>技术研发推广</w:t>
            </w:r>
          </w:p>
        </w:tc>
        <w:tc>
          <w:tcPr>
            <w:tcW w:w="1297" w:type="dxa"/>
            <w:shd w:val="clear" w:color="auto" w:fill="auto"/>
            <w:vAlign w:val="center"/>
          </w:tcPr>
          <w:p w14:paraId="7CF30E17">
            <w:pPr>
              <w:pStyle w:val="48"/>
              <w:spacing w:after="163"/>
              <w:rPr>
                <w:b w:val="0"/>
                <w:bCs/>
                <w:sz w:val="21"/>
              </w:rPr>
            </w:pPr>
            <w:r>
              <w:rPr>
                <w:rFonts w:hint="eastAsia"/>
                <w:b w:val="0"/>
                <w:bCs/>
                <w:sz w:val="21"/>
              </w:rPr>
              <w:t>辽宁省</w:t>
            </w:r>
          </w:p>
        </w:tc>
        <w:tc>
          <w:tcPr>
            <w:tcW w:w="0" w:type="auto"/>
            <w:shd w:val="clear" w:color="auto" w:fill="auto"/>
            <w:vAlign w:val="center"/>
          </w:tcPr>
          <w:p w14:paraId="788D5D7C">
            <w:pPr>
              <w:pStyle w:val="48"/>
              <w:spacing w:after="163"/>
              <w:rPr>
                <w:b w:val="0"/>
                <w:bCs/>
                <w:sz w:val="21"/>
              </w:rPr>
            </w:pPr>
            <w:r>
              <w:rPr>
                <w:rFonts w:hint="eastAsia"/>
                <w:b w:val="0"/>
                <w:bCs/>
                <w:sz w:val="21"/>
              </w:rPr>
              <w:t>《辽宁省推广绿色建筑实施意见》</w:t>
            </w:r>
          </w:p>
        </w:tc>
      </w:tr>
      <w:tr w14:paraId="2D94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6" w:type="dxa"/>
            <w:shd w:val="clear" w:color="auto" w:fill="auto"/>
            <w:vAlign w:val="center"/>
          </w:tcPr>
          <w:p w14:paraId="233BA09A">
            <w:pPr>
              <w:pStyle w:val="48"/>
              <w:spacing w:after="163"/>
              <w:rPr>
                <w:b w:val="0"/>
                <w:bCs/>
                <w:sz w:val="21"/>
              </w:rPr>
            </w:pPr>
            <w:r>
              <w:rPr>
                <w:rFonts w:hint="eastAsia"/>
                <w:b w:val="0"/>
                <w:bCs/>
                <w:sz w:val="21"/>
              </w:rPr>
              <w:t>实现</w:t>
            </w:r>
            <w:r>
              <w:rPr>
                <w:b w:val="0"/>
                <w:bCs/>
                <w:sz w:val="21"/>
              </w:rPr>
              <w:t>2030</w:t>
            </w:r>
            <w:r>
              <w:rPr>
                <w:rFonts w:hint="eastAsia"/>
                <w:b w:val="0"/>
                <w:bCs/>
                <w:sz w:val="21"/>
              </w:rPr>
              <w:t>年城市建成区</w:t>
            </w:r>
            <w:r>
              <w:rPr>
                <w:b w:val="0"/>
                <w:bCs/>
                <w:sz w:val="21"/>
              </w:rPr>
              <w:t>80%</w:t>
            </w:r>
            <w:r>
              <w:rPr>
                <w:rFonts w:hint="eastAsia"/>
                <w:b w:val="0"/>
                <w:bCs/>
                <w:sz w:val="21"/>
              </w:rPr>
              <w:t>以上面积达到海绵城市建设要求的目标</w:t>
            </w:r>
          </w:p>
        </w:tc>
        <w:tc>
          <w:tcPr>
            <w:tcW w:w="1701" w:type="dxa"/>
            <w:shd w:val="clear" w:color="auto" w:fill="auto"/>
            <w:vAlign w:val="center"/>
          </w:tcPr>
          <w:p w14:paraId="47E4A5E9">
            <w:pPr>
              <w:pStyle w:val="48"/>
              <w:spacing w:after="163"/>
              <w:rPr>
                <w:b w:val="0"/>
                <w:bCs/>
                <w:sz w:val="21"/>
              </w:rPr>
            </w:pPr>
            <w:r>
              <w:rPr>
                <w:rFonts w:hint="eastAsia"/>
                <w:b w:val="0"/>
                <w:bCs/>
                <w:sz w:val="21"/>
              </w:rPr>
              <w:t>海绵城市</w:t>
            </w:r>
          </w:p>
        </w:tc>
        <w:tc>
          <w:tcPr>
            <w:tcW w:w="1297" w:type="dxa"/>
            <w:shd w:val="clear" w:color="auto" w:fill="auto"/>
            <w:vAlign w:val="center"/>
          </w:tcPr>
          <w:p w14:paraId="26B28982">
            <w:pPr>
              <w:pStyle w:val="48"/>
              <w:spacing w:after="163"/>
              <w:rPr>
                <w:b w:val="0"/>
                <w:bCs/>
                <w:sz w:val="21"/>
              </w:rPr>
            </w:pPr>
            <w:r>
              <w:rPr>
                <w:rFonts w:hint="eastAsia"/>
                <w:b w:val="0"/>
                <w:bCs/>
                <w:sz w:val="21"/>
              </w:rPr>
              <w:t>沈阳市</w:t>
            </w:r>
          </w:p>
        </w:tc>
        <w:tc>
          <w:tcPr>
            <w:tcW w:w="0" w:type="auto"/>
            <w:shd w:val="clear" w:color="auto" w:fill="auto"/>
            <w:vAlign w:val="center"/>
          </w:tcPr>
          <w:p w14:paraId="663138D8">
            <w:pPr>
              <w:pStyle w:val="48"/>
              <w:spacing w:after="163"/>
              <w:rPr>
                <w:b w:val="0"/>
                <w:bCs/>
                <w:sz w:val="21"/>
              </w:rPr>
            </w:pPr>
          </w:p>
        </w:tc>
      </w:tr>
      <w:tr w14:paraId="1CEE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6" w:type="dxa"/>
            <w:shd w:val="clear" w:color="auto" w:fill="auto"/>
            <w:vAlign w:val="center"/>
          </w:tcPr>
          <w:p w14:paraId="5C840BC7">
            <w:pPr>
              <w:pStyle w:val="48"/>
              <w:spacing w:after="163"/>
              <w:rPr>
                <w:b w:val="0"/>
                <w:bCs/>
                <w:sz w:val="21"/>
              </w:rPr>
            </w:pPr>
            <w:r>
              <w:rPr>
                <w:rFonts w:hint="eastAsia"/>
                <w:b w:val="0"/>
                <w:bCs/>
                <w:sz w:val="21"/>
              </w:rPr>
              <w:t>进一步加快推进老旧小区改造工作</w:t>
            </w:r>
          </w:p>
        </w:tc>
        <w:tc>
          <w:tcPr>
            <w:tcW w:w="1701" w:type="dxa"/>
            <w:shd w:val="clear" w:color="auto" w:fill="auto"/>
            <w:vAlign w:val="center"/>
          </w:tcPr>
          <w:p w14:paraId="0E00EE88">
            <w:pPr>
              <w:pStyle w:val="48"/>
              <w:spacing w:after="163"/>
              <w:rPr>
                <w:b w:val="0"/>
                <w:bCs/>
                <w:sz w:val="21"/>
              </w:rPr>
            </w:pPr>
            <w:r>
              <w:rPr>
                <w:rFonts w:hint="eastAsia"/>
                <w:b w:val="0"/>
                <w:bCs/>
                <w:sz w:val="21"/>
              </w:rPr>
              <w:t>改造</w:t>
            </w:r>
          </w:p>
        </w:tc>
        <w:tc>
          <w:tcPr>
            <w:tcW w:w="1297" w:type="dxa"/>
            <w:shd w:val="clear" w:color="auto" w:fill="auto"/>
            <w:vAlign w:val="center"/>
          </w:tcPr>
          <w:p w14:paraId="08552AF8">
            <w:pPr>
              <w:pStyle w:val="48"/>
              <w:spacing w:after="163"/>
              <w:rPr>
                <w:b w:val="0"/>
                <w:bCs/>
                <w:sz w:val="21"/>
              </w:rPr>
            </w:pPr>
            <w:r>
              <w:rPr>
                <w:rFonts w:hint="eastAsia"/>
                <w:b w:val="0"/>
                <w:bCs/>
                <w:sz w:val="21"/>
              </w:rPr>
              <w:t>辽宁省</w:t>
            </w:r>
          </w:p>
        </w:tc>
        <w:tc>
          <w:tcPr>
            <w:tcW w:w="0" w:type="auto"/>
            <w:shd w:val="clear" w:color="auto" w:fill="auto"/>
            <w:vAlign w:val="center"/>
          </w:tcPr>
          <w:p w14:paraId="7D2A64D4">
            <w:pPr>
              <w:pStyle w:val="48"/>
              <w:spacing w:after="163"/>
              <w:rPr>
                <w:b w:val="0"/>
                <w:bCs/>
                <w:sz w:val="21"/>
              </w:rPr>
            </w:pPr>
            <w:r>
              <w:rPr>
                <w:rFonts w:hint="eastAsia"/>
                <w:b w:val="0"/>
                <w:bCs/>
                <w:sz w:val="21"/>
              </w:rPr>
              <w:t>《辽宁省城镇老旧小区改造技术导则（试行）》</w:t>
            </w:r>
          </w:p>
        </w:tc>
      </w:tr>
      <w:tr w14:paraId="6C82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366" w:type="dxa"/>
            <w:shd w:val="clear" w:color="auto" w:fill="auto"/>
            <w:vAlign w:val="center"/>
          </w:tcPr>
          <w:p w14:paraId="6CDB6C75">
            <w:pPr>
              <w:pStyle w:val="48"/>
              <w:spacing w:after="163"/>
              <w:rPr>
                <w:b w:val="0"/>
                <w:bCs/>
                <w:sz w:val="21"/>
              </w:rPr>
            </w:pPr>
            <w:r>
              <w:rPr>
                <w:rFonts w:hint="eastAsia"/>
                <w:b w:val="0"/>
                <w:bCs/>
                <w:sz w:val="21"/>
              </w:rPr>
              <w:t>由市大数据局牵头建设数据智能基础设施，提升沈阳市各云计算数据中心综合服务、安全防护和绿色节能水平的任务。</w:t>
            </w:r>
          </w:p>
        </w:tc>
        <w:tc>
          <w:tcPr>
            <w:tcW w:w="1701" w:type="dxa"/>
            <w:shd w:val="clear" w:color="auto" w:fill="auto"/>
            <w:vAlign w:val="center"/>
          </w:tcPr>
          <w:p w14:paraId="0B719197">
            <w:pPr>
              <w:pStyle w:val="48"/>
              <w:spacing w:after="163"/>
              <w:rPr>
                <w:b w:val="0"/>
                <w:bCs/>
                <w:sz w:val="21"/>
              </w:rPr>
            </w:pPr>
            <w:r>
              <w:rPr>
                <w:rFonts w:hint="eastAsia"/>
                <w:b w:val="0"/>
                <w:bCs/>
                <w:sz w:val="21"/>
              </w:rPr>
              <w:t>智能基础设施</w:t>
            </w:r>
          </w:p>
        </w:tc>
        <w:tc>
          <w:tcPr>
            <w:tcW w:w="1297" w:type="dxa"/>
            <w:shd w:val="clear" w:color="auto" w:fill="auto"/>
            <w:vAlign w:val="center"/>
          </w:tcPr>
          <w:p w14:paraId="7A567434">
            <w:pPr>
              <w:pStyle w:val="48"/>
              <w:spacing w:after="163"/>
              <w:rPr>
                <w:b w:val="0"/>
                <w:bCs/>
                <w:sz w:val="21"/>
              </w:rPr>
            </w:pPr>
            <w:r>
              <w:rPr>
                <w:rFonts w:hint="eastAsia"/>
                <w:b w:val="0"/>
                <w:bCs/>
                <w:sz w:val="21"/>
              </w:rPr>
              <w:t>沈阳市</w:t>
            </w:r>
          </w:p>
        </w:tc>
        <w:tc>
          <w:tcPr>
            <w:tcW w:w="0" w:type="auto"/>
            <w:shd w:val="clear" w:color="auto" w:fill="auto"/>
            <w:vAlign w:val="center"/>
          </w:tcPr>
          <w:p w14:paraId="797EEBA3">
            <w:pPr>
              <w:pStyle w:val="48"/>
              <w:spacing w:after="163"/>
              <w:rPr>
                <w:b w:val="0"/>
                <w:bCs/>
                <w:sz w:val="21"/>
              </w:rPr>
            </w:pPr>
            <w:r>
              <w:rPr>
                <w:rFonts w:hint="eastAsia"/>
                <w:b w:val="0"/>
                <w:bCs/>
                <w:sz w:val="21"/>
              </w:rPr>
              <w:t>《沈阳市</w:t>
            </w:r>
            <w:r>
              <w:rPr>
                <w:b w:val="0"/>
                <w:bCs/>
                <w:sz w:val="21"/>
              </w:rPr>
              <w:t>5G</w:t>
            </w:r>
            <w:r>
              <w:rPr>
                <w:rFonts w:hint="eastAsia"/>
                <w:b w:val="0"/>
                <w:bCs/>
                <w:sz w:val="21"/>
              </w:rPr>
              <w:t>产业发展方案（</w:t>
            </w:r>
            <w:r>
              <w:rPr>
                <w:b w:val="0"/>
                <w:bCs/>
                <w:sz w:val="21"/>
              </w:rPr>
              <w:t>2020-2021</w:t>
            </w:r>
            <w:r>
              <w:rPr>
                <w:rFonts w:hint="eastAsia"/>
                <w:b w:val="0"/>
                <w:bCs/>
                <w:sz w:val="21"/>
              </w:rPr>
              <w:t>年）》</w:t>
            </w:r>
          </w:p>
        </w:tc>
      </w:tr>
    </w:tbl>
    <w:p w14:paraId="11C67999"/>
    <w:p w14:paraId="365CD3E9"/>
    <w:p w14:paraId="6F8D9887">
      <w:pPr>
        <w:ind w:firstLine="0" w:firstLineChars="0"/>
        <w:sectPr>
          <w:pgSz w:w="16838" w:h="11906" w:orient="landscape"/>
          <w:pgMar w:top="1800" w:right="1440" w:bottom="1800" w:left="1440" w:header="851" w:footer="992" w:gutter="0"/>
          <w:cols w:space="425" w:num="1"/>
          <w:docGrid w:type="lines" w:linePitch="326" w:charSpace="0"/>
        </w:sectPr>
      </w:pPr>
    </w:p>
    <w:p w14:paraId="1F59F049">
      <w:pPr>
        <w:pStyle w:val="3"/>
        <w:ind w:left="0" w:firstLine="482"/>
        <w:rPr>
          <w:rFonts w:ascii="黑体" w:hAnsi="黑体" w:eastAsia="黑体"/>
        </w:rPr>
      </w:pPr>
      <w:bookmarkStart w:id="42" w:name="_Toc76743823"/>
      <w:r>
        <w:rPr>
          <w:rFonts w:hint="eastAsia" w:ascii="黑体" w:hAnsi="黑体" w:eastAsia="黑体"/>
        </w:rPr>
        <w:t>沈阳市目标及政策导向</w:t>
      </w:r>
      <w:bookmarkEnd w:id="42"/>
    </w:p>
    <w:p w14:paraId="015C9217">
      <w:pPr>
        <w:spacing w:before="156" w:beforeLines="50" w:line="360" w:lineRule="auto"/>
        <w:ind w:firstLine="482"/>
      </w:pPr>
      <w:r>
        <w:rPr>
          <w:b/>
          <w:bCs/>
        </w:rPr>
        <w:t>1</w:t>
      </w:r>
      <w:r>
        <w:rPr>
          <w:rFonts w:hint="eastAsia"/>
          <w:b/>
          <w:bCs/>
        </w:rPr>
        <w:t>、</w:t>
      </w:r>
      <w:r>
        <w:rPr>
          <w:b/>
          <w:bCs/>
        </w:rPr>
        <w:t>《沈阳振兴发展战略规划》</w:t>
      </w:r>
    </w:p>
    <w:p w14:paraId="3290364C">
      <w:pPr>
        <w:spacing w:before="156" w:beforeLines="50" w:line="360" w:lineRule="auto"/>
      </w:pPr>
      <w:r>
        <w:t>“</w:t>
      </w:r>
      <w:r>
        <w:rPr>
          <w:rFonts w:hint="eastAsia"/>
        </w:rPr>
        <w:t>十三五</w:t>
      </w:r>
      <w:r>
        <w:t>”</w:t>
      </w:r>
      <w:r>
        <w:rPr>
          <w:rFonts w:hint="eastAsia"/>
        </w:rPr>
        <w:t>时期乃至未来十年，是沈阳实现全面建成小康社会的决胜期，是贯彻落实党中央、国务院重大决策部署，实现新一轮东北振兴的攻坚期。</w:t>
      </w:r>
      <w:r>
        <w:t>2017</w:t>
      </w:r>
      <w:r>
        <w:rPr>
          <w:rFonts w:hint="eastAsia"/>
        </w:rPr>
        <w:t>年发布的《沈阳振兴发展战略规划》中提出沈阳市的振兴发展目标：到</w:t>
      </w:r>
      <w:r>
        <w:t>2020</w:t>
      </w:r>
      <w:r>
        <w:rPr>
          <w:rFonts w:hint="eastAsia"/>
        </w:rPr>
        <w:t>年，成为引领实现东北振兴发展的中心城市，到</w:t>
      </w:r>
      <w:r>
        <w:t>2030</w:t>
      </w:r>
      <w:r>
        <w:rPr>
          <w:rFonts w:hint="eastAsia"/>
        </w:rPr>
        <w:t>年，成为东北亚地区重要的国际中心城市。</w:t>
      </w:r>
    </w:p>
    <w:p w14:paraId="554A2A11">
      <w:pPr>
        <w:spacing w:before="156" w:beforeLines="50" w:line="360" w:lineRule="auto"/>
        <w:ind w:firstLine="482"/>
      </w:pPr>
      <w:r>
        <w:rPr>
          <w:b/>
          <w:bCs/>
        </w:rPr>
        <w:t>2</w:t>
      </w:r>
      <w:r>
        <w:rPr>
          <w:rFonts w:hint="eastAsia"/>
          <w:b/>
          <w:bCs/>
        </w:rPr>
        <w:t>、《沈阳市城乡建设发展“十四五”发展规划（征求意见稿）》</w:t>
      </w:r>
    </w:p>
    <w:p w14:paraId="1F12DD90">
      <w:pPr>
        <w:spacing w:before="156" w:beforeLines="50" w:line="360" w:lineRule="auto"/>
      </w:pPr>
      <w:r>
        <w:rPr>
          <w:rFonts w:hint="eastAsia"/>
        </w:rPr>
        <w:t>2</w:t>
      </w:r>
      <w:r>
        <w:t>021</w:t>
      </w:r>
      <w:r>
        <w:rPr>
          <w:rFonts w:hint="eastAsia"/>
        </w:rPr>
        <w:t>年5月，沈阳市城乡建设局发布的</w:t>
      </w:r>
      <w:r>
        <w:t>《沈阳市城乡建设发展“十四五”发展规划（征求意见稿）》</w:t>
      </w:r>
      <w:r>
        <w:rPr>
          <w:rFonts w:hint="eastAsia"/>
        </w:rPr>
        <w:t>针对沈阳市城乡建设业的发展，提出以下目标与重点任务。</w:t>
      </w:r>
    </w:p>
    <w:p w14:paraId="52056525">
      <w:r>
        <w:rPr>
          <w:rFonts w:hint="eastAsia"/>
        </w:rPr>
        <w:t>表4</w:t>
      </w:r>
      <w:r>
        <w:t>-3</w:t>
      </w:r>
      <w:r>
        <w:rPr>
          <w:rFonts w:hint="eastAsia"/>
        </w:rPr>
        <w:t xml:space="preserve"> “十四五”时期城乡建设业主要指标</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51"/>
        <w:gridCol w:w="2977"/>
        <w:gridCol w:w="1275"/>
        <w:gridCol w:w="1134"/>
        <w:gridCol w:w="1043"/>
      </w:tblGrid>
      <w:tr w14:paraId="2AD4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7B4A6C8">
            <w:pPr>
              <w:pStyle w:val="40"/>
            </w:pPr>
            <w:r>
              <w:rPr>
                <w:rFonts w:hint="eastAsia"/>
              </w:rPr>
              <w:t>指标类别</w:t>
            </w:r>
          </w:p>
        </w:tc>
        <w:tc>
          <w:tcPr>
            <w:tcW w:w="851" w:type="dxa"/>
            <w:vAlign w:val="center"/>
          </w:tcPr>
          <w:p w14:paraId="1F829D49">
            <w:pPr>
              <w:pStyle w:val="40"/>
            </w:pPr>
            <w:r>
              <w:rPr>
                <w:rFonts w:hint="eastAsia"/>
              </w:rPr>
              <w:t>序号</w:t>
            </w:r>
          </w:p>
        </w:tc>
        <w:tc>
          <w:tcPr>
            <w:tcW w:w="2977" w:type="dxa"/>
            <w:vAlign w:val="center"/>
          </w:tcPr>
          <w:p w14:paraId="2C60F054">
            <w:pPr>
              <w:pStyle w:val="40"/>
            </w:pPr>
            <w:r>
              <w:rPr>
                <w:rFonts w:hint="eastAsia"/>
              </w:rPr>
              <w:t>指标体系</w:t>
            </w:r>
          </w:p>
        </w:tc>
        <w:tc>
          <w:tcPr>
            <w:tcW w:w="1275" w:type="dxa"/>
            <w:vAlign w:val="center"/>
          </w:tcPr>
          <w:p w14:paraId="76273D47">
            <w:pPr>
              <w:pStyle w:val="40"/>
            </w:pPr>
            <w:r>
              <w:rPr>
                <w:rFonts w:hint="eastAsia"/>
              </w:rPr>
              <w:t>指标类型</w:t>
            </w:r>
          </w:p>
        </w:tc>
        <w:tc>
          <w:tcPr>
            <w:tcW w:w="1134" w:type="dxa"/>
            <w:vAlign w:val="center"/>
          </w:tcPr>
          <w:p w14:paraId="2D869EAD">
            <w:pPr>
              <w:pStyle w:val="40"/>
            </w:pPr>
            <w:r>
              <w:rPr>
                <w:rFonts w:hint="eastAsia"/>
              </w:rPr>
              <w:t>2</w:t>
            </w:r>
            <w:r>
              <w:t>020</w:t>
            </w:r>
            <w:r>
              <w:rPr>
                <w:rFonts w:hint="eastAsia"/>
              </w:rPr>
              <w:t>年</w:t>
            </w:r>
          </w:p>
        </w:tc>
        <w:tc>
          <w:tcPr>
            <w:tcW w:w="1043" w:type="dxa"/>
            <w:vAlign w:val="center"/>
          </w:tcPr>
          <w:p w14:paraId="58CBA751">
            <w:pPr>
              <w:pStyle w:val="40"/>
            </w:pPr>
            <w:r>
              <w:rPr>
                <w:rFonts w:hint="eastAsia"/>
              </w:rPr>
              <w:t>2</w:t>
            </w:r>
            <w:r>
              <w:t>025</w:t>
            </w:r>
            <w:r>
              <w:rPr>
                <w:rFonts w:hint="eastAsia"/>
              </w:rPr>
              <w:t>年</w:t>
            </w:r>
          </w:p>
        </w:tc>
      </w:tr>
      <w:tr w14:paraId="75F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990D323">
            <w:pPr>
              <w:pStyle w:val="40"/>
            </w:pPr>
            <w:r>
              <w:rPr>
                <w:rFonts w:hint="eastAsia"/>
              </w:rPr>
              <w:t>城市空间</w:t>
            </w:r>
          </w:p>
        </w:tc>
        <w:tc>
          <w:tcPr>
            <w:tcW w:w="851" w:type="dxa"/>
            <w:vAlign w:val="center"/>
          </w:tcPr>
          <w:p w14:paraId="14B5463C">
            <w:pPr>
              <w:pStyle w:val="40"/>
            </w:pPr>
            <w:r>
              <w:rPr>
                <w:rFonts w:hint="eastAsia"/>
              </w:rPr>
              <w:t>1</w:t>
            </w:r>
          </w:p>
        </w:tc>
        <w:tc>
          <w:tcPr>
            <w:tcW w:w="2977" w:type="dxa"/>
            <w:vAlign w:val="center"/>
          </w:tcPr>
          <w:p w14:paraId="5D4D6F2B">
            <w:pPr>
              <w:pStyle w:val="40"/>
            </w:pPr>
            <w:r>
              <w:rPr>
                <w:rFonts w:hint="eastAsia"/>
              </w:rPr>
              <w:t>常住人口城镇化水平(</w:t>
            </w:r>
            <w:r>
              <w:t>%)</w:t>
            </w:r>
          </w:p>
        </w:tc>
        <w:tc>
          <w:tcPr>
            <w:tcW w:w="1275" w:type="dxa"/>
            <w:vAlign w:val="center"/>
          </w:tcPr>
          <w:p w14:paraId="2750D21F">
            <w:pPr>
              <w:pStyle w:val="40"/>
            </w:pPr>
            <w:r>
              <w:rPr>
                <w:rFonts w:hint="eastAsia"/>
              </w:rPr>
              <w:t>预期性</w:t>
            </w:r>
          </w:p>
        </w:tc>
        <w:tc>
          <w:tcPr>
            <w:tcW w:w="1134" w:type="dxa"/>
            <w:vAlign w:val="center"/>
          </w:tcPr>
          <w:p w14:paraId="0959D9D6">
            <w:pPr>
              <w:pStyle w:val="40"/>
            </w:pPr>
            <w:r>
              <w:rPr>
                <w:rFonts w:hint="eastAsia"/>
              </w:rPr>
              <w:t>8</w:t>
            </w:r>
            <w:r>
              <w:t>1.2</w:t>
            </w:r>
          </w:p>
        </w:tc>
        <w:tc>
          <w:tcPr>
            <w:tcW w:w="1043" w:type="dxa"/>
            <w:vAlign w:val="center"/>
          </w:tcPr>
          <w:p w14:paraId="00A3350D">
            <w:pPr>
              <w:pStyle w:val="40"/>
            </w:pPr>
            <w:r>
              <w:rPr>
                <w:rFonts w:hint="eastAsia"/>
              </w:rPr>
              <w:t>8</w:t>
            </w:r>
            <w:r>
              <w:t>3.5</w:t>
            </w:r>
          </w:p>
        </w:tc>
      </w:tr>
      <w:tr w14:paraId="2308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EB7F5DA">
            <w:pPr>
              <w:pStyle w:val="40"/>
            </w:pPr>
            <w:r>
              <w:rPr>
                <w:rFonts w:hint="eastAsia"/>
              </w:rPr>
              <w:t>生态环境</w:t>
            </w:r>
          </w:p>
        </w:tc>
        <w:tc>
          <w:tcPr>
            <w:tcW w:w="851" w:type="dxa"/>
            <w:vAlign w:val="center"/>
          </w:tcPr>
          <w:p w14:paraId="359EC1AA">
            <w:pPr>
              <w:pStyle w:val="40"/>
            </w:pPr>
            <w:r>
              <w:rPr>
                <w:rFonts w:hint="eastAsia"/>
              </w:rPr>
              <w:t>2</w:t>
            </w:r>
          </w:p>
        </w:tc>
        <w:tc>
          <w:tcPr>
            <w:tcW w:w="2977" w:type="dxa"/>
            <w:vAlign w:val="center"/>
          </w:tcPr>
          <w:p w14:paraId="1CBFB663">
            <w:pPr>
              <w:pStyle w:val="40"/>
            </w:pPr>
            <w:r>
              <w:rPr>
                <w:rFonts w:hint="eastAsia"/>
              </w:rPr>
              <w:t>清洁取暖比例</w:t>
            </w:r>
          </w:p>
        </w:tc>
        <w:tc>
          <w:tcPr>
            <w:tcW w:w="1275" w:type="dxa"/>
            <w:vAlign w:val="center"/>
          </w:tcPr>
          <w:p w14:paraId="498DFBF2">
            <w:pPr>
              <w:pStyle w:val="40"/>
            </w:pPr>
            <w:r>
              <w:rPr>
                <w:rFonts w:hint="eastAsia"/>
              </w:rPr>
              <w:t>预期性</w:t>
            </w:r>
          </w:p>
        </w:tc>
        <w:tc>
          <w:tcPr>
            <w:tcW w:w="1134" w:type="dxa"/>
            <w:vAlign w:val="center"/>
          </w:tcPr>
          <w:p w14:paraId="39763986">
            <w:pPr>
              <w:pStyle w:val="40"/>
            </w:pPr>
            <w:r>
              <w:rPr>
                <w:rFonts w:hint="eastAsia"/>
              </w:rPr>
              <w:t>4</w:t>
            </w:r>
            <w:r>
              <w:t>4.5</w:t>
            </w:r>
          </w:p>
        </w:tc>
        <w:tc>
          <w:tcPr>
            <w:tcW w:w="1043" w:type="dxa"/>
            <w:vAlign w:val="center"/>
          </w:tcPr>
          <w:p w14:paraId="3A0C6A8D">
            <w:pPr>
              <w:pStyle w:val="40"/>
            </w:pPr>
            <w:r>
              <w:rPr>
                <w:rFonts w:hint="eastAsia"/>
              </w:rPr>
              <w:t>9</w:t>
            </w:r>
            <w:r>
              <w:t>0</w:t>
            </w:r>
          </w:p>
        </w:tc>
      </w:tr>
      <w:tr w14:paraId="0110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8C7975C">
            <w:pPr>
              <w:pStyle w:val="40"/>
            </w:pPr>
            <w:r>
              <w:rPr>
                <w:rFonts w:hint="eastAsia"/>
              </w:rPr>
              <w:t>民生保障</w:t>
            </w:r>
          </w:p>
        </w:tc>
        <w:tc>
          <w:tcPr>
            <w:tcW w:w="851" w:type="dxa"/>
            <w:vAlign w:val="center"/>
          </w:tcPr>
          <w:p w14:paraId="3637DF36">
            <w:pPr>
              <w:pStyle w:val="40"/>
            </w:pPr>
            <w:r>
              <w:rPr>
                <w:rFonts w:hint="eastAsia"/>
              </w:rPr>
              <w:t>3</w:t>
            </w:r>
          </w:p>
        </w:tc>
        <w:tc>
          <w:tcPr>
            <w:tcW w:w="2977" w:type="dxa"/>
            <w:vAlign w:val="center"/>
          </w:tcPr>
          <w:p w14:paraId="4ACB6665">
            <w:pPr>
              <w:pStyle w:val="40"/>
            </w:pPr>
            <w:r>
              <w:rPr>
                <w:rFonts w:hint="eastAsia"/>
              </w:rPr>
              <w:t>城市人均住宅建筑面积（平方米）</w:t>
            </w:r>
          </w:p>
        </w:tc>
        <w:tc>
          <w:tcPr>
            <w:tcW w:w="1275" w:type="dxa"/>
            <w:vAlign w:val="center"/>
          </w:tcPr>
          <w:p w14:paraId="555D661D">
            <w:pPr>
              <w:pStyle w:val="40"/>
            </w:pPr>
            <w:r>
              <w:rPr>
                <w:rFonts w:hint="eastAsia"/>
              </w:rPr>
              <w:t>预期性</w:t>
            </w:r>
          </w:p>
        </w:tc>
        <w:tc>
          <w:tcPr>
            <w:tcW w:w="1134" w:type="dxa"/>
            <w:vAlign w:val="center"/>
          </w:tcPr>
          <w:p w14:paraId="2A2A3921">
            <w:pPr>
              <w:pStyle w:val="40"/>
            </w:pPr>
            <w:r>
              <w:rPr>
                <w:rFonts w:hint="eastAsia"/>
              </w:rPr>
              <w:t>3</w:t>
            </w:r>
            <w:r>
              <w:t>2.6</w:t>
            </w:r>
          </w:p>
        </w:tc>
        <w:tc>
          <w:tcPr>
            <w:tcW w:w="1043" w:type="dxa"/>
            <w:vAlign w:val="center"/>
          </w:tcPr>
          <w:p w14:paraId="2F7B089E">
            <w:pPr>
              <w:pStyle w:val="40"/>
            </w:pPr>
            <w:r>
              <w:rPr>
                <w:rFonts w:hint="eastAsia"/>
              </w:rPr>
              <w:t>3</w:t>
            </w:r>
            <w:r>
              <w:t>6</w:t>
            </w:r>
          </w:p>
        </w:tc>
      </w:tr>
    </w:tbl>
    <w:p w14:paraId="45D6C70E">
      <w:pPr>
        <w:spacing w:before="156" w:beforeLines="50" w:line="360" w:lineRule="auto"/>
      </w:pPr>
      <w:r>
        <w:rPr>
          <w:rFonts w:hint="eastAsia"/>
        </w:rPr>
        <w:t>推进城市更新试点工作，结合城市体检评估结果，综合考虑城市基础设施、公共服务设施、自然环境、产权边界等因素，在保证城市基础设施和公共服务设施相对完整的前提下，划定城市更新单元。推进成片连片更新，联动改造，加强各类配套设施和公共活动空间的共建共享。深入推进盛京皇城片区，沈飞工业文化片区，一河两岸沿线片区、于洪区沙河子片区、和平区北六经片区、大东区德增片区等重点片区更新工作。 2</w:t>
      </w:r>
      <w:r>
        <w:t>025</w:t>
      </w:r>
      <w:r>
        <w:rPr>
          <w:rFonts w:hint="eastAsia"/>
        </w:rPr>
        <w:t>年前，完成全市1</w:t>
      </w:r>
      <w:r>
        <w:t>723</w:t>
      </w:r>
      <w:r>
        <w:rPr>
          <w:rFonts w:hint="eastAsia"/>
        </w:rPr>
        <w:t>个老旧小区改造工程。</w:t>
      </w:r>
    </w:p>
    <w:p w14:paraId="1A7E8431">
      <w:pPr>
        <w:spacing w:before="156" w:beforeLines="50" w:line="360" w:lineRule="auto"/>
      </w:pPr>
      <w:r>
        <w:rPr>
          <w:rFonts w:hint="eastAsia"/>
        </w:rPr>
        <w:t>大力推进清洁供热方面，提出加快构建以热电联产和大型燃煤锅炉房集中供热为主、电和天然气等清洁能源供热为补充的清洁供暖新格局，形成二环内一张网，加快东西南北供热区域主力热源管网互联互通。实施</w:t>
      </w:r>
      <w:r>
        <w:t>“</w:t>
      </w:r>
      <w:r>
        <w:rPr>
          <w:rFonts w:hint="eastAsia"/>
        </w:rPr>
        <w:t>拆小并大</w:t>
      </w:r>
      <w:r>
        <w:t>”</w:t>
      </w:r>
      <w:r>
        <w:rPr>
          <w:rFonts w:hint="eastAsia"/>
        </w:rPr>
        <w:t>工程，改扩建沈西北热电厂，新建沈阳异地热电厂、华润异地热电厂、浑南热电厂，提高供热能力，加大天然气等清洁能源占比。建设宝马大东、铁西厂区</w:t>
      </w:r>
      <w:r>
        <w:t>2</w:t>
      </w:r>
      <w:r>
        <w:rPr>
          <w:rFonts w:hint="eastAsia"/>
        </w:rPr>
        <w:t>座天然气分布式能源站，高标准满足扩建工厂的用热需求。建设沈阳异地热电厂、华润异地热电厂、沈西北热电厂、大唐热电厂、浑南热电厂</w:t>
      </w:r>
      <w:r>
        <w:t>5</w:t>
      </w:r>
      <w:r>
        <w:rPr>
          <w:rFonts w:hint="eastAsia"/>
        </w:rPr>
        <w:t>条回输供热管道，向城市内部输送热量，总长度</w:t>
      </w:r>
      <w:r>
        <w:t>110</w:t>
      </w:r>
      <w:r>
        <w:rPr>
          <w:rFonts w:hint="eastAsia"/>
        </w:rPr>
        <w:t>公里。针对经开区中德园、铁西三角地、于洪新城、浑南区、苏家屯区、沈北新区等供热能力不足区域，新建及改扩建</w:t>
      </w:r>
      <w:r>
        <w:t>8</w:t>
      </w:r>
      <w:r>
        <w:rPr>
          <w:rFonts w:hint="eastAsia"/>
        </w:rPr>
        <w:t>座热源厂，提升供热能力。鼓励因地制宜采用工业余热</w:t>
      </w:r>
      <w:r>
        <w:t>,</w:t>
      </w:r>
      <w:r>
        <w:rPr>
          <w:rFonts w:hint="eastAsia"/>
        </w:rPr>
        <w:t>促进城乡循环体系建设。</w:t>
      </w:r>
    </w:p>
    <w:p w14:paraId="79042BA9">
      <w:pPr>
        <w:spacing w:before="156" w:beforeLines="50" w:line="360" w:lineRule="auto"/>
      </w:pPr>
      <w:r>
        <w:rPr>
          <w:rFonts w:hint="eastAsia"/>
        </w:rPr>
        <w:t>推动新能源开发方面，“合理布局风电、太阳能发电、生物质热电等可再生能源开发项目。支持集中式风电开发，因地制宜发展集中式光伏电站。对县域地区未利用地等可供开发区域进行合理规划布局，积极储备</w:t>
      </w:r>
      <w:r>
        <w:t>150</w:t>
      </w:r>
      <w:r>
        <w:rPr>
          <w:rFonts w:hint="eastAsia"/>
        </w:rPr>
        <w:t>万千瓦集中式光伏电站项目。鼓励屋顶分布式光伏发电，减少工业企业及相关单位用电成本。合理规划建设垃圾焚烧发电项目。提升大辛、老虎冲和西部等</w:t>
      </w:r>
      <w:r>
        <w:t>3</w:t>
      </w:r>
      <w:r>
        <w:rPr>
          <w:rFonts w:hint="eastAsia"/>
        </w:rPr>
        <w:t>座垃圾焚烧发电厂运行效率，统筹规划建设县域及农村地区垃圾焚烧发电厂，提高资源利用水平。到</w:t>
      </w:r>
      <w:r>
        <w:t>2025</w:t>
      </w:r>
      <w:r>
        <w:rPr>
          <w:rFonts w:hint="eastAsia"/>
        </w:rPr>
        <w:t>年，力争新建风电装机</w:t>
      </w:r>
      <w:r>
        <w:t>230</w:t>
      </w:r>
      <w:r>
        <w:rPr>
          <w:rFonts w:hint="eastAsia"/>
        </w:rPr>
        <w:t>万千瓦、新增集中式光伏电站</w:t>
      </w:r>
      <w:r>
        <w:t>70</w:t>
      </w:r>
      <w:r>
        <w:rPr>
          <w:rFonts w:hint="eastAsia"/>
        </w:rPr>
        <w:t>万千瓦、生物质热电新增装机</w:t>
      </w:r>
      <w:r>
        <w:t>10</w:t>
      </w:r>
      <w:r>
        <w:rPr>
          <w:rFonts w:hint="eastAsia"/>
        </w:rPr>
        <w:t>万千瓦，全市可再生能源发电装机占比达到</w:t>
      </w:r>
      <w:r>
        <w:t>40%</w:t>
      </w:r>
      <w:r>
        <w:rPr>
          <w:rFonts w:hint="eastAsia"/>
        </w:rPr>
        <w:t>以上。”</w:t>
      </w:r>
    </w:p>
    <w:p w14:paraId="3EF68CF1">
      <w:pPr>
        <w:spacing w:before="156" w:beforeLines="50" w:line="360" w:lineRule="auto"/>
      </w:pPr>
      <w:r>
        <w:rPr>
          <w:rFonts w:hint="eastAsia"/>
        </w:rPr>
        <w:t>加强建设科技成果研究、应用和转化方面，“构建新型创新平台，完善建设科技创新体系。加强建设科技研究能力建设，突破重点关键技术研究瓶颈，着重开展城市有机更新和基础设施建设应用技术研究和示范、建筑信息模型（</w:t>
      </w:r>
      <w:r>
        <w:t>BIM</w:t>
      </w:r>
      <w:r>
        <w:rPr>
          <w:rFonts w:hint="eastAsia"/>
        </w:rPr>
        <w:t>）应用研究与示范推广、交叉口评价指标研究及应用程序开发、新能源与可再生能源一体化技术研究和规模化应用示范等一系列示范工程建设，加速建设科技成果的转化和应用。”</w:t>
      </w:r>
    </w:p>
    <w:p w14:paraId="36BF7C23">
      <w:pPr>
        <w:spacing w:before="156" w:beforeLines="50" w:line="360" w:lineRule="auto"/>
      </w:pPr>
      <w:r>
        <w:rPr>
          <w:rFonts w:hint="eastAsia"/>
        </w:rPr>
        <w:t>加快农村能源设施改造升级。以贫困乡、村电力改造为重点，加速农村智能电网工程建设，形成以电网为基础，与天然气管网、热力管网等互补衔接、协同转化的能源网络体系。提倡农村清洁供暖，提高农村清洁能源比重，支持生物质供热、规模化生物质天然气、规模化大型沼气、太阳能、地热能、风能等技术的推广应用，推进康平县清洁能源基地建设。</w:t>
      </w:r>
    </w:p>
    <w:p w14:paraId="18DBF3E3">
      <w:pPr>
        <w:spacing w:before="156" w:beforeLines="50" w:line="360" w:lineRule="auto"/>
      </w:pPr>
      <w:r>
        <w:rPr>
          <w:rFonts w:hint="eastAsia"/>
        </w:rPr>
        <w:t>加快建筑业现代化方面，全面推动装配式建造成为主要建造方式。建立健全适应沈阳市现代建筑产业发展的政策体系、标准体系、技术体系、管理体系、产品体系和人才体系。争取到</w:t>
      </w:r>
      <w:r>
        <w:t>2025</w:t>
      </w:r>
      <w:r>
        <w:rPr>
          <w:rFonts w:hint="eastAsia"/>
        </w:rPr>
        <w:t>年，装配式建筑年开工面积在</w:t>
      </w:r>
      <w:r>
        <w:t>800</w:t>
      </w:r>
      <w:r>
        <w:rPr>
          <w:rFonts w:hint="eastAsia"/>
        </w:rPr>
        <w:t>万平方米以上，新建装配式建筑项目建筑面积占同期新建建筑面积的比例达到</w:t>
      </w:r>
      <w:r>
        <w:t>70%</w:t>
      </w:r>
      <w:r>
        <w:rPr>
          <w:rFonts w:hint="eastAsia"/>
        </w:rPr>
        <w:t>以上，装配式建筑项目全装修率达到</w:t>
      </w:r>
      <w:r>
        <w:t>80%</w:t>
      </w:r>
      <w:r>
        <w:rPr>
          <w:rFonts w:hint="eastAsia"/>
        </w:rPr>
        <w:t>以上，装配率达到</w:t>
      </w:r>
      <w:r>
        <w:t>50%</w:t>
      </w:r>
      <w:r>
        <w:rPr>
          <w:rFonts w:hint="eastAsia"/>
        </w:rPr>
        <w:t>以上。</w:t>
      </w:r>
    </w:p>
    <w:p w14:paraId="11A4B47B">
      <w:pPr>
        <w:spacing w:before="156" w:beforeLines="50" w:line="360" w:lineRule="auto"/>
      </w:pPr>
      <w:r>
        <w:rPr>
          <w:rFonts w:hint="eastAsia"/>
        </w:rPr>
        <w:t>提高绿色建筑发展水平。将绿色发展理念全面融入沈阳市绿色建筑、超低能耗建筑和城市绿色更新发展中，完善促进绿色建筑设计、施工、装修、管理等行业发展政策，推进建筑业设计、施工、监理、造价咨询等企业诚信体系建设，推动发展装配式建筑、绿色、节能及智能建筑。执行更高能效建筑节能标准，加强零能耗建筑研究的战略规划和顶层设计，启动超低能耗建筑推广试点，持续推进建筑能效提升。促进建材产业链由低端扩张向高端延伸转变，重点发展高性能结构及配套材料、高性能陶瓷材料、硅藻土呼吸砖等固废再利用新型环保材料、高端玻璃材料及制品等无机非金属建材原材料，开发推广适用于装配式建筑的水泥基材料及制品、节能门窗、玻璃幕墙等部品化建材。将沈阳市打造成为国家级绿色城市，将浑南新区、沈北新区打造成为绿色生态示范城区，引领沈阳市绿色发展转型、低碳循环发展与人居环境品质综合提升。</w:t>
      </w:r>
    </w:p>
    <w:p w14:paraId="0046BE81">
      <w:pPr>
        <w:spacing w:before="156" w:beforeLines="50" w:line="360" w:lineRule="auto"/>
        <w:ind w:firstLine="482"/>
      </w:pPr>
      <w:r>
        <w:rPr>
          <w:b/>
          <w:bCs/>
        </w:rPr>
        <w:t>3</w:t>
      </w:r>
      <w:r>
        <w:rPr>
          <w:rFonts w:hint="eastAsia"/>
          <w:b/>
          <w:bCs/>
        </w:rPr>
        <w:t>、《沈阳市绿色发展三年行动方案（</w:t>
      </w:r>
      <w:r>
        <w:rPr>
          <w:b/>
          <w:bCs/>
        </w:rPr>
        <w:t>2021</w:t>
      </w:r>
      <w:r>
        <w:rPr>
          <w:rFonts w:hint="eastAsia"/>
          <w:b/>
          <w:bCs/>
        </w:rPr>
        <w:t>—</w:t>
      </w:r>
      <w:r>
        <w:rPr>
          <w:b/>
          <w:bCs/>
        </w:rPr>
        <w:t>2023</w:t>
      </w:r>
      <w:r>
        <w:rPr>
          <w:rFonts w:hint="eastAsia"/>
          <w:b/>
          <w:bCs/>
        </w:rPr>
        <w:t>年）》（征求意见稿）</w:t>
      </w:r>
    </w:p>
    <w:p w14:paraId="5DEFB4F9">
      <w:pPr>
        <w:spacing w:before="156" w:beforeLines="50" w:line="360" w:lineRule="auto"/>
      </w:pPr>
      <w:r>
        <w:t>为统筹生态环境高水平保护与经济高质量发展，全面改善生态环境质量，着力形成绿色发展方式，加快建设国家中心城市，</w:t>
      </w:r>
      <w:r>
        <w:rPr>
          <w:rFonts w:hint="eastAsia"/>
        </w:rPr>
        <w:t>沈阳市编制了《沈阳市绿色发展三年行动方案（2</w:t>
      </w:r>
      <w:r>
        <w:t>021</w:t>
      </w:r>
      <w:r>
        <w:rPr>
          <w:rFonts w:hint="eastAsia"/>
        </w:rPr>
        <w:t>—2</w:t>
      </w:r>
      <w:r>
        <w:t>023</w:t>
      </w:r>
      <w:r>
        <w:rPr>
          <w:rFonts w:hint="eastAsia"/>
        </w:rPr>
        <w:t>年）》（征求意见稿），其中提出以下主要目标：</w:t>
      </w:r>
    </w:p>
    <w:p w14:paraId="5EC386C8">
      <w:pPr>
        <w:spacing w:before="156" w:beforeLines="50" w:line="360" w:lineRule="auto"/>
      </w:pPr>
      <w:r>
        <w:rPr>
          <w:rFonts w:hint="eastAsia"/>
        </w:rPr>
        <w:t>（1）绿色转型成效突出。稳步推进碳达峰，全社会能源消费、资源消耗、碳排放及各类污染物排放总量得到有效控制；城乡森林覆盖率显著提升；“两山”转化成效凸显；绿色示范引导作用明显。到</w:t>
      </w:r>
      <w:r>
        <w:t>2023年，碳排放趋势基本平稳，</w:t>
      </w:r>
      <w:r>
        <w:rPr>
          <w:rFonts w:hint="eastAsia"/>
        </w:rPr>
        <w:t>单位生产总值能耗和二氧化碳排放分别降低</w:t>
      </w:r>
      <w:r>
        <w:t>8.45%、12.3%，</w:t>
      </w:r>
      <w:r>
        <w:rPr>
          <w:rFonts w:hint="eastAsia"/>
        </w:rPr>
        <w:t>城市森林覆盖率提升至</w:t>
      </w:r>
      <w:r>
        <w:t>17%，森林蓄积量比2020增长5%。</w:t>
      </w:r>
    </w:p>
    <w:p w14:paraId="753487D8">
      <w:pPr>
        <w:spacing w:before="156" w:beforeLines="50" w:line="360" w:lineRule="auto"/>
      </w:pPr>
      <w:r>
        <w:rPr>
          <w:rFonts w:hint="eastAsia"/>
        </w:rPr>
        <w:t>（</w:t>
      </w:r>
      <w:r>
        <w:t>2</w:t>
      </w:r>
      <w:r>
        <w:rPr>
          <w:rFonts w:hint="eastAsia"/>
        </w:rPr>
        <w:t>）结构优化效果显著。绿色循环经济体系基本建立，战略型新兴产业快速发展，资源利用效率得到提升，生态产业品牌逐步建立；煤炭总量得到有效控制，供暖结构进一步优化，清洁能源利用水平全面提升。到</w:t>
      </w:r>
      <w:r>
        <w:t>2023年，战略性新兴产业增加值占地区生产</w:t>
      </w:r>
      <w:r>
        <w:rPr>
          <w:rFonts w:hint="eastAsia"/>
        </w:rPr>
        <w:t>总值</w:t>
      </w:r>
      <w:r>
        <w:t>12%以上，万元地区生产总值用水量比2020 年下降6%，</w:t>
      </w:r>
      <w:r>
        <w:rPr>
          <w:rFonts w:hint="eastAsia"/>
        </w:rPr>
        <w:t>城市清洁供暖比例达到</w:t>
      </w:r>
      <w:r>
        <w:t>80%以上，清洁能源供暖比例3年增</w:t>
      </w:r>
      <w:r>
        <w:rPr>
          <w:rFonts w:hint="eastAsia"/>
        </w:rPr>
        <w:t>加</w:t>
      </w:r>
      <w:r>
        <w:t>5 个百分点，非化石能源占一次能源比例不低于15%，培育50个节能示范项目，城市居民公共交通出行分担率达到30%以上，城市新增城市公交、出租车新能源占比100%。</w:t>
      </w:r>
    </w:p>
    <w:p w14:paraId="7ABD7D8D">
      <w:pPr>
        <w:spacing w:before="156" w:beforeLines="50" w:line="360" w:lineRule="auto"/>
      </w:pPr>
      <w:r>
        <w:rPr>
          <w:rFonts w:hint="eastAsia"/>
        </w:rPr>
        <w:t>（3）绿色建筑进一步推广。到</w:t>
      </w:r>
      <w:r>
        <w:t>2023年底创建示范区不少于10个。</w:t>
      </w:r>
      <w:r>
        <w:rPr>
          <w:rFonts w:hint="eastAsia"/>
        </w:rPr>
        <w:t>新建民用建筑</w:t>
      </w:r>
      <w:r>
        <w:t>(农村自建住宅除外)全面按照一星级及以上</w:t>
      </w:r>
      <w:r>
        <w:rPr>
          <w:rFonts w:hint="eastAsia"/>
        </w:rPr>
        <w:t>绿色建筑标准设计建造，逐年提高新建建筑中二星级及以上绿色建筑占比。加强绿色建筑运行管理，开展年度运行评估，积极采用合同能源管理、合同节水管理，实行大型公共建筑能耗（电耗、热耗）及碳排放强度限额管理制度。到</w:t>
      </w:r>
      <w:r>
        <w:t>2023</w:t>
      </w:r>
      <w:r>
        <w:rPr>
          <w:rFonts w:hint="eastAsia"/>
        </w:rPr>
        <w:t>年，城镇新建民用建筑中二星级以上绿色建筑面积占比达到</w:t>
      </w:r>
      <w:r>
        <w:t>70%。</w:t>
      </w:r>
    </w:p>
    <w:p w14:paraId="1DFDDD56">
      <w:pPr>
        <w:spacing w:before="156" w:beforeLines="50" w:line="360" w:lineRule="auto"/>
      </w:pPr>
      <w:r>
        <w:rPr>
          <w:rFonts w:hint="eastAsia"/>
        </w:rPr>
        <w:t>（4）</w:t>
      </w:r>
      <w:r>
        <w:t>开展绿色行动。落实节能产品政府采购政策，严格执</w:t>
      </w:r>
      <w:r>
        <w:rPr>
          <w:rFonts w:hint="eastAsia"/>
        </w:rPr>
        <w:t>行强制采购和优先采购制度，加大政府绿色采购力度，</w:t>
      </w:r>
      <w:r>
        <w:t>2021</w:t>
      </w:r>
      <w:r>
        <w:rPr>
          <w:rFonts w:hint="eastAsia"/>
        </w:rPr>
        <w:t>年底前制定出台政府绿色采购目录，扩大绿色产品采购范围，政府绿色采购比例逐年递增</w:t>
      </w:r>
      <w:r>
        <w:t>10%。探索生态产品价值实现机</w:t>
      </w:r>
      <w:r>
        <w:rPr>
          <w:rFonts w:hint="eastAsia"/>
        </w:rPr>
        <w:t>制，制定绿色发展财政奖补办法，到</w:t>
      </w:r>
      <w:r>
        <w:t>2022年底前，初步建</w:t>
      </w:r>
      <w:r>
        <w:rPr>
          <w:rFonts w:hint="eastAsia"/>
        </w:rPr>
        <w:t>立与</w:t>
      </w:r>
      <w:r>
        <w:t>GEP挂钩的绿色发展财政奖补机制。推进绿色单位创建，2021年底前分别制定出台绿色机关、绿色学校、绿色商场、</w:t>
      </w:r>
      <w:r>
        <w:rPr>
          <w:rFonts w:hint="eastAsia"/>
        </w:rPr>
        <w:t>绿色社区、绿色工地的评价考核指标体系，逐步推进示范单位创建工作。因地制宜推进生活垃圾分类和减量化、资源化。搭建社区绿色教育平台普及绿色低碳行为。到</w:t>
      </w:r>
      <w:r>
        <w:t>2023年，政</w:t>
      </w:r>
      <w:r>
        <w:rPr>
          <w:rFonts w:hint="eastAsia"/>
        </w:rPr>
        <w:t>府绿色采购比例不低于</w:t>
      </w:r>
      <w:r>
        <w:t>80%，GEP核算实现区县全覆盖，创建绿色机关15个、绿色学校15个、绿色商场15个、绿色</w:t>
      </w:r>
      <w:r>
        <w:rPr>
          <w:rFonts w:hint="eastAsia"/>
        </w:rPr>
        <w:t>社区</w:t>
      </w:r>
      <w:r>
        <w:t>15个、绿色工地15个。</w:t>
      </w:r>
    </w:p>
    <w:p w14:paraId="5B788A38">
      <w:pPr>
        <w:spacing w:before="156" w:beforeLines="50" w:line="360" w:lineRule="auto"/>
        <w:ind w:firstLine="482"/>
      </w:pPr>
      <w:r>
        <w:rPr>
          <w:rFonts w:hint="eastAsia"/>
          <w:b/>
          <w:bCs/>
        </w:rPr>
        <w:t>4、</w:t>
      </w:r>
      <w:r>
        <w:rPr>
          <w:b/>
          <w:bCs/>
        </w:rPr>
        <w:t>《沈阳市“中国制造2025”实施方案》</w:t>
      </w:r>
    </w:p>
    <w:p w14:paraId="17DD3014">
      <w:pPr>
        <w:spacing w:before="156" w:beforeLines="50" w:line="360" w:lineRule="auto"/>
      </w:pPr>
      <w:r>
        <w:rPr>
          <w:rFonts w:hint="eastAsia"/>
        </w:rPr>
        <w:t>沈阳建设国家和区域制造业创新中心的重点方向之一为节能环保绿色建筑技术，通过</w:t>
      </w:r>
      <w:r>
        <w:t>“</w:t>
      </w:r>
      <w:r>
        <w:rPr>
          <w:rFonts w:hint="eastAsia"/>
        </w:rPr>
        <w:t>依托中辰钢构钢结构研发检测公共服务中心、省钢结构住宅产业化工程研究中心、省钢结构工程技术中心，联合辽宁省（沈阳）现代建筑产业技术创新战略联盟成员，积极争取国家、省级相关政策支持，构建面向全球的协同创新网路</w:t>
      </w:r>
      <w:r>
        <w:t>”</w:t>
      </w:r>
      <w:r>
        <w:rPr>
          <w:rFonts w:hint="eastAsia"/>
        </w:rPr>
        <w:t>的路径，将沈阳市建设成为区域制造业创新中心以及国内领先的绿色建筑技术研发基地</w:t>
      </w:r>
      <w:r>
        <w:t>。</w:t>
      </w:r>
    </w:p>
    <w:p w14:paraId="2A5A08A6">
      <w:pPr>
        <w:spacing w:before="156" w:beforeLines="50" w:line="360" w:lineRule="auto"/>
        <w:ind w:firstLine="482"/>
        <w:rPr>
          <w:b/>
          <w:bCs/>
        </w:rPr>
      </w:pPr>
      <w:r>
        <w:rPr>
          <w:rFonts w:hint="eastAsia"/>
          <w:b/>
          <w:bCs/>
        </w:rPr>
        <w:t>5、《沈阳市城市民用供热规划方案（</w:t>
      </w:r>
      <w:r>
        <w:rPr>
          <w:b/>
          <w:bCs/>
        </w:rPr>
        <w:t>2021-2030）</w:t>
      </w:r>
      <w:r>
        <w:rPr>
          <w:rFonts w:hint="eastAsia"/>
          <w:b/>
          <w:bCs/>
        </w:rPr>
        <w:t>》（征求意见稿）</w:t>
      </w:r>
    </w:p>
    <w:p w14:paraId="0137FDF6">
      <w:pPr>
        <w:spacing w:before="156" w:beforeLines="50" w:line="360" w:lineRule="auto"/>
      </w:pPr>
      <w:r>
        <w:rPr>
          <w:rFonts w:hint="eastAsia"/>
        </w:rPr>
        <w:t>以标准为引导，以清洁取暖、建筑节能为抓手，紧扣</w:t>
      </w:r>
      <w:r>
        <w:t>2025（“十</w:t>
      </w:r>
      <w:r>
        <w:rPr>
          <w:rFonts w:hint="eastAsia"/>
        </w:rPr>
        <w:t>四五”）、</w:t>
      </w:r>
      <w:r>
        <w:t>2030、2060战略阶段目标，支撑建立清洁低碳、安全高效的</w:t>
      </w:r>
      <w:r>
        <w:rPr>
          <w:rFonts w:hint="eastAsia"/>
        </w:rPr>
        <w:t>供热体系。保障广大人民群众温暖安全过冬、幸福健康过冬，总结沈阳模式，树立东北地区清洁取暖标杆，实现沈阳市供热领域节能降碳目标，助力供热领域提前实现碳达峰。</w:t>
      </w:r>
    </w:p>
    <w:p w14:paraId="0BA01771">
      <w:pPr>
        <w:spacing w:before="156" w:beforeLines="50" w:line="360" w:lineRule="auto"/>
      </w:pPr>
      <w:r>
        <w:rPr>
          <w:rFonts w:hint="eastAsia"/>
        </w:rPr>
        <w:t>在规划期期间，热源侧重点以“清洁、低碳”为发展导向，减少煤炭供热占比，提高清洁能源在供热场景中的应用；输配和用户侧重点以“高效、节能”为发展导向，提高管网高效输送水平，提升建筑能效，降低供暖用热需求。</w:t>
      </w:r>
    </w:p>
    <w:p w14:paraId="2CF365FD">
      <w:pPr>
        <w:spacing w:before="156" w:beforeLines="50" w:line="360" w:lineRule="auto"/>
      </w:pPr>
      <w:r>
        <w:t>在规划期期间，通过减少燃煤锅炉数量和减少供热燃煤用量“两减”手段，实现清洁取暖率和清洁能源占比“两增”目标。</w:t>
      </w:r>
    </w:p>
    <w:p w14:paraId="1C5ABF20">
      <w:pPr>
        <w:spacing w:before="156" w:beforeLines="50" w:line="360" w:lineRule="auto"/>
      </w:pPr>
      <w:r>
        <w:t>（1）清洁取暖率从目前的38%，到2025年增加到100%，并且此后新增的供热需求全部由清洁取暖方式覆盖；</w:t>
      </w:r>
    </w:p>
    <w:p w14:paraId="739D08CD">
      <w:pPr>
        <w:spacing w:before="156" w:beforeLines="50" w:line="360" w:lineRule="auto"/>
      </w:pPr>
      <w:r>
        <w:t>（2）清洁能源供热占比从目前的4.5%，力争到2025年增加到20%，并努力争取到2030年进一步增加到32%</w:t>
      </w:r>
    </w:p>
    <w:p w14:paraId="24C021AA">
      <w:pPr>
        <w:spacing w:before="156" w:beforeLines="50" w:line="360" w:lineRule="auto"/>
        <w:ind w:firstLine="482"/>
        <w:rPr>
          <w:b/>
          <w:bCs/>
        </w:rPr>
      </w:pPr>
    </w:p>
    <w:p w14:paraId="147CA372">
      <w:pPr>
        <w:pStyle w:val="3"/>
        <w:ind w:left="0" w:firstLine="482"/>
        <w:rPr>
          <w:rFonts w:ascii="黑体" w:hAnsi="黑体" w:eastAsia="黑体"/>
        </w:rPr>
      </w:pPr>
      <w:bookmarkStart w:id="43" w:name="_Toc76743825"/>
      <w:r>
        <w:rPr>
          <w:rFonts w:hint="eastAsia" w:ascii="黑体" w:hAnsi="黑体" w:eastAsia="黑体"/>
        </w:rPr>
        <w:t>沈阳市十四五发展目标设定</w:t>
      </w:r>
      <w:bookmarkEnd w:id="43"/>
    </w:p>
    <w:p w14:paraId="6B06AD6E">
      <w:pPr>
        <w:pStyle w:val="4"/>
        <w:numPr>
          <w:ilvl w:val="2"/>
          <w:numId w:val="13"/>
        </w:numPr>
        <w:spacing w:before="0" w:beforeLines="0"/>
        <w:rPr>
          <w:rFonts w:ascii="楷体" w:hAnsi="楷体" w:eastAsia="楷体"/>
          <w:b w:val="0"/>
          <w:bCs/>
          <w:sz w:val="28"/>
          <w:szCs w:val="28"/>
        </w:rPr>
      </w:pPr>
      <w:bookmarkStart w:id="44" w:name="_Toc76743826"/>
      <w:bookmarkStart w:id="45" w:name="_Toc56951758"/>
      <w:bookmarkStart w:id="46" w:name="_Toc35612633"/>
      <w:r>
        <w:rPr>
          <w:rFonts w:ascii="楷体" w:hAnsi="楷体" w:eastAsia="楷体"/>
          <w:b w:val="0"/>
          <w:bCs/>
          <w:sz w:val="28"/>
          <w:szCs w:val="28"/>
        </w:rPr>
        <w:t>规划</w:t>
      </w:r>
      <w:r>
        <w:rPr>
          <w:rFonts w:hint="eastAsia" w:ascii="楷体" w:hAnsi="楷体" w:eastAsia="楷体"/>
          <w:b w:val="0"/>
          <w:bCs/>
          <w:sz w:val="28"/>
          <w:szCs w:val="28"/>
        </w:rPr>
        <w:t>总体</w:t>
      </w:r>
      <w:r>
        <w:rPr>
          <w:rFonts w:ascii="楷体" w:hAnsi="楷体" w:eastAsia="楷体"/>
          <w:b w:val="0"/>
          <w:bCs/>
          <w:sz w:val="28"/>
          <w:szCs w:val="28"/>
        </w:rPr>
        <w:t>目标</w:t>
      </w:r>
      <w:bookmarkEnd w:id="44"/>
    </w:p>
    <w:p w14:paraId="7FE85C65">
      <w:pPr>
        <w:spacing w:before="156" w:beforeLines="50" w:line="360" w:lineRule="auto"/>
      </w:pPr>
      <w:bookmarkStart w:id="47" w:name="_Hlk66454250"/>
      <w:r>
        <w:rPr>
          <w:rFonts w:hint="eastAsia"/>
        </w:rPr>
        <w:t>围绕推动沈阳新时代全面振兴全方位振兴取得新突破、努力建设国家中心城市的总目标，以构建国家绿色城市为发展目标，着力打造“绿色低碳、生态宜居”的东北地区重要中心城市，在绿色发展和解决“新字号”问题上为全省作出表率。将绿色发展理念全面融入城市更新、新建建筑、既有建筑改造过程中，稳步提升新建建筑能效水平，推动绿色建筑高质量发展，加快建筑用能结构向清洁化、低碳化转型，积极开展区域级绿色生态示范，引领沈阳市绿色发展转型、低碳循环发展与人居环境品质综合提升。通过绿色建筑标准的全面应用、超低能耗建筑的加速推进、既有建筑绿色化改造的逐步实施、绿色建材的大力推广，形成节能低碳、绿色生态、集约高效的建筑用能体系，为加快实现沈阳市建筑能源消费总量和碳排放控制目标奠定良好基础。</w:t>
      </w:r>
    </w:p>
    <w:p w14:paraId="69F96E59">
      <w:pPr>
        <w:spacing w:before="156" w:beforeLines="50" w:line="360" w:lineRule="auto"/>
      </w:pPr>
    </w:p>
    <w:bookmarkEnd w:id="47"/>
    <w:p w14:paraId="0E103749">
      <w:pPr>
        <w:pStyle w:val="4"/>
        <w:numPr>
          <w:ilvl w:val="2"/>
          <w:numId w:val="13"/>
        </w:numPr>
        <w:spacing w:before="0" w:beforeLines="0"/>
        <w:rPr>
          <w:rFonts w:ascii="楷体" w:hAnsi="楷体" w:eastAsia="楷体"/>
          <w:b w:val="0"/>
          <w:bCs/>
          <w:sz w:val="28"/>
          <w:szCs w:val="28"/>
        </w:rPr>
      </w:pPr>
      <w:bookmarkStart w:id="48" w:name="_Toc76743827"/>
      <w:r>
        <w:rPr>
          <w:rFonts w:ascii="楷体" w:hAnsi="楷体" w:eastAsia="楷体"/>
          <w:b w:val="0"/>
          <w:bCs/>
          <w:sz w:val="28"/>
          <w:szCs w:val="28"/>
        </w:rPr>
        <w:t>具体目标</w:t>
      </w:r>
      <w:bookmarkEnd w:id="48"/>
    </w:p>
    <w:p w14:paraId="5BA77565">
      <w:pPr>
        <w:spacing w:before="156" w:beforeLines="50" w:line="360" w:lineRule="auto"/>
        <w:ind w:firstLine="482"/>
      </w:pPr>
      <w:r>
        <w:rPr>
          <w:b/>
          <w:bCs/>
        </w:rPr>
        <w:t>1、绿色建筑方面</w:t>
      </w:r>
    </w:p>
    <w:p w14:paraId="1C3C60F1">
      <w:pPr>
        <w:spacing w:before="156" w:beforeLines="50" w:line="360" w:lineRule="auto"/>
      </w:pPr>
      <w:r>
        <w:rPr>
          <w:rFonts w:hint="eastAsia"/>
        </w:rPr>
        <w:t>首先，</w:t>
      </w:r>
      <w:r>
        <w:t>进一步推进绿色建筑发展。国家层面，2020年发布的《绿色建筑创建行动方案》中提出“到2022年，当年城镇新建建筑中绿色建筑面积占比达到70%”的目标，同时，制定了“推动新建建筑全面实施绿色设计”</w:t>
      </w:r>
      <w:r>
        <w:rPr>
          <w:rFonts w:hint="eastAsia"/>
        </w:rPr>
        <w:t>的工作任务。辽宁层面，</w:t>
      </w:r>
      <w:r>
        <w:t>2018</w:t>
      </w:r>
      <w:r>
        <w:rPr>
          <w:rFonts w:hint="eastAsia"/>
        </w:rPr>
        <w:t>年发布了《辽宁省绿色建筑条例》，</w:t>
      </w:r>
      <w:r>
        <w:t>2019</w:t>
      </w:r>
      <w:r>
        <w:rPr>
          <w:rFonts w:hint="eastAsia"/>
        </w:rPr>
        <w:t>年发布的《辽宁省推广绿色建筑实施意见》，提出到</w:t>
      </w:r>
      <w:r>
        <w:t>2025</w:t>
      </w:r>
      <w:r>
        <w:rPr>
          <w:rFonts w:hint="eastAsia"/>
        </w:rPr>
        <w:t>年底，城镇新建建筑中绿色建筑推广比例大幅提高的目标。沈阳层面，一方面，沈阳市在绿色建筑推动工作方面已采取一定举措，具有一定工作基础：沈阳市于</w:t>
      </w:r>
      <w:r>
        <w:t>2017</w:t>
      </w:r>
      <w:r>
        <w:rPr>
          <w:rFonts w:hint="eastAsia"/>
        </w:rPr>
        <w:t>年</w:t>
      </w:r>
      <w:r>
        <w:t>10</w:t>
      </w:r>
      <w:r>
        <w:rPr>
          <w:rFonts w:hint="eastAsia"/>
        </w:rPr>
        <w:t>月</w:t>
      </w:r>
      <w:r>
        <w:t>1</w:t>
      </w:r>
      <w:r>
        <w:rPr>
          <w:rFonts w:hint="eastAsia"/>
        </w:rPr>
        <w:t>日起要求公共建筑必须按照《沈阳市公共建筑绿色设计标准》进行设计、施工图审查、施工及验收；于</w:t>
      </w:r>
      <w:r>
        <w:t>2019</w:t>
      </w:r>
      <w:r>
        <w:rPr>
          <w:rFonts w:hint="eastAsia"/>
        </w:rPr>
        <w:t>年</w:t>
      </w:r>
      <w:r>
        <w:t>6</w:t>
      </w:r>
      <w:r>
        <w:rPr>
          <w:rFonts w:hint="eastAsia"/>
        </w:rPr>
        <w:t>月</w:t>
      </w:r>
      <w:r>
        <w:t>1</w:t>
      </w:r>
      <w:r>
        <w:rPr>
          <w:rFonts w:hint="eastAsia"/>
        </w:rPr>
        <w:t>日起实施《沈阳市居住建筑绿色设计标准》，全市民用建筑全部执行绿色建筑设计标准。另一方面，沈阳市在绿色建筑的推动工作方面存在很大提升空间：沈阳市提出的绿色建筑目标为到</w:t>
      </w:r>
      <w:r>
        <w:t>2020</w:t>
      </w:r>
      <w:r>
        <w:rPr>
          <w:rFonts w:hint="eastAsia"/>
        </w:rPr>
        <w:t>年城镇绿色建筑占城镇新建建筑比例达到</w:t>
      </w:r>
      <w:r>
        <w:t>50%</w:t>
      </w:r>
      <w:r>
        <w:rPr>
          <w:rFonts w:hint="eastAsia"/>
        </w:rPr>
        <w:t>，从绿色建筑占比和星级要求方面，沈阳市仍有很大提升空间。</w:t>
      </w:r>
    </w:p>
    <w:p w14:paraId="590BA801">
      <w:pPr>
        <w:spacing w:before="156" w:beforeLines="50" w:line="360" w:lineRule="auto"/>
      </w:pPr>
      <w:r>
        <w:rPr>
          <w:rFonts w:hint="eastAsia"/>
        </w:rPr>
        <w:t>其次，关注健康、舒适标准指标的设定。住建部《建筑节能与绿色建筑发展“十三五”规划》指出：“坚持以人为本，满足人民群众对健康建筑性不断提高的要求”。《住房和城乡建设部建筑节能与科技司关于印发</w:t>
      </w:r>
      <w:r>
        <w:t>2018</w:t>
      </w:r>
      <w:r>
        <w:rPr>
          <w:rFonts w:hint="eastAsia"/>
        </w:rPr>
        <w:t>年工作要点的通知》指出，健康建筑是推动新时代高质量绿色建筑发展的重要途径。新冠肺炎疫情的暴发，使得人们开始重新审视建筑的功能与定位。具备“健康</w:t>
      </w:r>
      <w:r>
        <w:t>+</w:t>
      </w:r>
      <w:r>
        <w:rPr>
          <w:rFonts w:hint="eastAsia"/>
        </w:rPr>
        <w:t>疫情防控”双重属性的健康建筑成为了行业及社会关注的焦点。</w:t>
      </w:r>
      <w:r>
        <w:t>2020</w:t>
      </w:r>
      <w:r>
        <w:rPr>
          <w:rFonts w:hint="eastAsia"/>
        </w:rPr>
        <w:t>年住房和城乡建设部发布的《绿色建筑创建行动方案》中制定了“提高住宅健康性能，提高建筑室内空气、水质、隔声等健康性能指标，提升建筑视觉和心理舒适性，推动一批住宅健康性能示范项目”的任务。在《沈阳振兴发展战略规划》中提到，沈阳市计划制定和实施《沈阳市打造健康城市方案》，加快提升以健康长寿、教育获得、生活水平为核心的人类发展指数，建成环境宜居、社会和谐、人群健康的国家健康示范城市。因此，十四五期间沈阳市建筑的发展在提升建筑节能率的提升，还应注重提升建筑防控疫情的属性、室内舒适性和健康性。</w:t>
      </w:r>
    </w:p>
    <w:p w14:paraId="47773CF3">
      <w:pPr>
        <w:spacing w:before="156" w:beforeLines="50" w:line="360" w:lineRule="auto"/>
      </w:pPr>
      <w:r>
        <w:rPr>
          <w:rFonts w:hint="eastAsia"/>
        </w:rPr>
        <w:t>综上所述，到</w:t>
      </w:r>
      <w:r>
        <w:t>2025</w:t>
      </w:r>
      <w:r>
        <w:rPr>
          <w:rFonts w:hint="eastAsia"/>
        </w:rPr>
        <w:t>年，建议沈阳市城镇新建民用建筑，全部按照绿色建筑基本级及以上标准规划建设，按照绿色建筑一星级及以上标准进行规划建设的面积比例达到</w:t>
      </w:r>
      <w:r>
        <w:t>30%</w:t>
      </w:r>
      <w:r>
        <w:rPr>
          <w:rFonts w:hint="eastAsia"/>
        </w:rPr>
        <w:t>以上。</w:t>
      </w:r>
    </w:p>
    <w:p w14:paraId="7B53B0CF">
      <w:pPr>
        <w:spacing w:before="156" w:beforeLines="50" w:line="360" w:lineRule="auto"/>
        <w:ind w:firstLine="482"/>
      </w:pPr>
      <w:r>
        <w:rPr>
          <w:rFonts w:hint="eastAsia"/>
          <w:b/>
          <w:bCs/>
        </w:rPr>
        <w:t>2、</w:t>
      </w:r>
      <w:r>
        <w:rPr>
          <w:b/>
          <w:bCs/>
        </w:rPr>
        <w:t>新建建筑能效提升方面</w:t>
      </w:r>
    </w:p>
    <w:p w14:paraId="4E565C02">
      <w:pPr>
        <w:spacing w:before="156" w:beforeLines="50" w:line="360" w:lineRule="auto"/>
      </w:pPr>
      <w:r>
        <w:t>推进更高标准建筑节能工作、被动房和低能耗建筑的发展。《辽宁省推广绿色建筑实施意见》，提出到2025年底，新建建筑节能标准加快提升，建筑总体能耗强度持续下降，建筑能源消费结构逐步改善的目标。沈阳层面，目前沈阳市已要求居住建筑按照75%节能率进行设计和建造，同时加强了施工监管和节能专项验收，并开展了被动房和低能耗建筑的试点工作，为进一步实现沈阳市节能减排，需要执行更高标准、覆盖全生命周期的建筑节能标准，并推进被动房和低能耗建筑的发展。</w:t>
      </w:r>
      <w:r>
        <w:rPr>
          <w:rFonts w:hint="eastAsia"/>
        </w:rPr>
        <w:t>因此，建议到</w:t>
      </w:r>
      <w:r>
        <w:t>2025</w:t>
      </w:r>
      <w:r>
        <w:rPr>
          <w:rFonts w:hint="eastAsia"/>
        </w:rPr>
        <w:t>年，沈阳市城镇新建建筑全面执行</w:t>
      </w:r>
      <w:r>
        <w:t>75%</w:t>
      </w:r>
      <w:r>
        <w:rPr>
          <w:rFonts w:hint="eastAsia"/>
        </w:rPr>
        <w:t>的节能标准。</w:t>
      </w:r>
    </w:p>
    <w:p w14:paraId="7CC403B9">
      <w:pPr>
        <w:spacing w:before="156" w:beforeLines="50" w:line="360" w:lineRule="auto"/>
        <w:ind w:firstLine="482"/>
      </w:pPr>
      <w:r>
        <w:rPr>
          <w:rFonts w:hint="eastAsia"/>
          <w:b/>
          <w:bCs/>
        </w:rPr>
        <w:t>3、</w:t>
      </w:r>
      <w:r>
        <w:rPr>
          <w:b/>
          <w:bCs/>
        </w:rPr>
        <w:t>既有居住建筑绿色化改造方面</w:t>
      </w:r>
    </w:p>
    <w:p w14:paraId="5DF75AD3">
      <w:pPr>
        <w:spacing w:before="156" w:beforeLines="50" w:line="360" w:lineRule="auto"/>
      </w:pPr>
      <w:r>
        <w:t>进一步推进老旧小区改造提质，建设绿色智慧住区</w:t>
      </w:r>
      <w:r>
        <w:rPr>
          <w:rFonts w:hint="eastAsia"/>
        </w:rPr>
        <w:t>，到</w:t>
      </w:r>
      <w:r>
        <w:t>2025</w:t>
      </w:r>
      <w:r>
        <w:rPr>
          <w:rFonts w:hint="eastAsia"/>
        </w:rPr>
        <w:t>年，基本完成对</w:t>
      </w:r>
      <w:r>
        <w:t>2000</w:t>
      </w:r>
      <w:r>
        <w:rPr>
          <w:rFonts w:hint="eastAsia"/>
        </w:rPr>
        <w:t>年底前建成的需改造城镇老旧小区的节能改造，完成既有建筑绿色改造</w:t>
      </w:r>
      <w:r>
        <w:t>15</w:t>
      </w:r>
      <w:r>
        <w:rPr>
          <w:rFonts w:hint="eastAsia"/>
        </w:rPr>
        <w:t>个示范区创建。</w:t>
      </w:r>
    </w:p>
    <w:p w14:paraId="010127DA">
      <w:pPr>
        <w:spacing w:before="156" w:beforeLines="50" w:line="360" w:lineRule="auto"/>
      </w:pPr>
      <w:r>
        <w:t>一方面，《国务院办公厅关于全面推进城镇老旧小区改造工作的指导意见》（国办发〔2020〕23号）提出2020年新开工改造城镇老旧小区3.9万个，涉及居民近700万户；到2022</w:t>
      </w:r>
      <w:r>
        <w:rPr>
          <w:rFonts w:hint="eastAsia"/>
        </w:rPr>
        <w:t>年，基本形成城镇老旧小区改造制度框架、政策体系和工作机制；到</w:t>
      </w:r>
      <w:r>
        <w:t>“</w:t>
      </w:r>
      <w:r>
        <w:rPr>
          <w:rFonts w:hint="eastAsia"/>
        </w:rPr>
        <w:t>十四五</w:t>
      </w:r>
      <w:r>
        <w:t>”</w:t>
      </w:r>
      <w:r>
        <w:rPr>
          <w:rFonts w:hint="eastAsia"/>
        </w:rPr>
        <w:t>期末，结合各地实际，力争基本完成</w:t>
      </w:r>
      <w:r>
        <w:t>2000</w:t>
      </w:r>
      <w:r>
        <w:rPr>
          <w:rFonts w:hint="eastAsia"/>
        </w:rPr>
        <w:t>年底前建成的需改造城镇老旧小区改造任务的要求。</w:t>
      </w:r>
      <w:r>
        <w:t>2020</w:t>
      </w:r>
      <w:r>
        <w:rPr>
          <w:rFonts w:hint="eastAsia"/>
        </w:rPr>
        <w:t>年，辽宁省也对老旧小区改造提出</w:t>
      </w:r>
      <w:r>
        <w:t>“</w:t>
      </w:r>
      <w:r>
        <w:rPr>
          <w:rFonts w:hint="eastAsia"/>
        </w:rPr>
        <w:t>要对</w:t>
      </w:r>
      <w:r>
        <w:t>2000</w:t>
      </w:r>
      <w:r>
        <w:rPr>
          <w:rFonts w:hint="eastAsia"/>
        </w:rPr>
        <w:t>年前建成的</w:t>
      </w:r>
      <w:r>
        <w:t>894</w:t>
      </w:r>
      <w:r>
        <w:rPr>
          <w:rFonts w:hint="eastAsia"/>
        </w:rPr>
        <w:t>个老旧小区进行全方位改造，共涉及</w:t>
      </w:r>
      <w:r>
        <w:t>6708</w:t>
      </w:r>
      <w:r>
        <w:rPr>
          <w:rFonts w:hint="eastAsia"/>
        </w:rPr>
        <w:t>栋楼、面积达</w:t>
      </w:r>
      <w:r>
        <w:t>2619</w:t>
      </w:r>
      <w:r>
        <w:rPr>
          <w:rFonts w:hint="eastAsia"/>
        </w:rPr>
        <w:t>万平方米，惠及</w:t>
      </w:r>
      <w:r>
        <w:t>35.8</w:t>
      </w:r>
      <w:r>
        <w:rPr>
          <w:rFonts w:hint="eastAsia"/>
        </w:rPr>
        <w:t>万户居民新开工改造城镇老旧小区</w:t>
      </w:r>
      <w:r>
        <w:t>3.9</w:t>
      </w:r>
      <w:r>
        <w:rPr>
          <w:rFonts w:hint="eastAsia"/>
        </w:rPr>
        <w:t>万个，支持管网改造、加装电梯等，发展居家养老、用餐、保洁等多样社区服务。</w:t>
      </w:r>
      <w:r>
        <w:t>”</w:t>
      </w:r>
      <w:r>
        <w:rPr>
          <w:rFonts w:hint="eastAsia"/>
        </w:rPr>
        <w:t>的要求，并于</w:t>
      </w:r>
      <w:r>
        <w:t>4</w:t>
      </w:r>
      <w:r>
        <w:rPr>
          <w:rFonts w:hint="eastAsia"/>
        </w:rPr>
        <w:t>月发布《辽宁省城镇老旧小区改造技术导则》，用以指导全省城镇范围内老旧小区改造的规划、建设与验收。近年来，沈阳市组织实施了两次较大规模的旧住宅区改造工作，一次是</w:t>
      </w:r>
      <w:r>
        <w:t>2010-2012</w:t>
      </w:r>
      <w:r>
        <w:rPr>
          <w:rFonts w:hint="eastAsia"/>
        </w:rPr>
        <w:t>年的弃管住宅区综合改造工程，主要以改造和修缮房屋本体为主，着力解决影响百姓生活的住用功能问题。另一次是</w:t>
      </w:r>
      <w:r>
        <w:t>2014-2016</w:t>
      </w:r>
      <w:r>
        <w:rPr>
          <w:rFonts w:hint="eastAsia"/>
        </w:rPr>
        <w:t>年的改善旧住宅区居住环境提升工程，主要以改善园区环境为主，着力提升和改善住宅区的环境质量。根据《沈阳市居民小区改造提质三年行动计划（</w:t>
      </w:r>
      <w:r>
        <w:t>2018-2020</w:t>
      </w:r>
      <w:r>
        <w:rPr>
          <w:rFonts w:hint="eastAsia"/>
        </w:rPr>
        <w:t>年）》，目前，沈阳市小区改造提质工作的要求为：到</w:t>
      </w:r>
      <w:r>
        <w:t>2020</w:t>
      </w:r>
      <w:r>
        <w:rPr>
          <w:rFonts w:hint="eastAsia"/>
        </w:rPr>
        <w:t>年</w:t>
      </w:r>
      <w:r>
        <w:t>,</w:t>
      </w:r>
      <w:r>
        <w:rPr>
          <w:rFonts w:hint="eastAsia"/>
        </w:rPr>
        <w:t>全市老旧小区改造达到</w:t>
      </w:r>
      <w:r>
        <w:t>“</w:t>
      </w:r>
      <w:r>
        <w:rPr>
          <w:rFonts w:hint="eastAsia"/>
        </w:rPr>
        <w:t>路要平整、水要畅通、灯要明亮、绿要美观、线要规整、车要有序、房要保暖、设施要齐全、电梯要安全、违建要拆除、市容要整洁清爽</w:t>
      </w:r>
      <w:r>
        <w:t>”</w:t>
      </w:r>
      <w:r>
        <w:rPr>
          <w:rFonts w:hint="eastAsia"/>
        </w:rPr>
        <w:t>的标准。</w:t>
      </w:r>
    </w:p>
    <w:p w14:paraId="606457E0">
      <w:pPr>
        <w:spacing w:before="156" w:beforeLines="50" w:line="360" w:lineRule="auto"/>
      </w:pPr>
      <w:r>
        <w:rPr>
          <w:rFonts w:hint="eastAsia"/>
        </w:rPr>
        <w:t>另一方面，建设绿色智慧住区是落实高质量发展战略的制度创新，是助推新旧动能转换的重要举措，可以有效提高群众的获得感、幸福感、安全感，对贯彻落实绿色发展理念具有重要的现实意义，同时，疫情期间智慧社区的防控更加高效全面。</w:t>
      </w:r>
      <w:r>
        <w:t>2020</w:t>
      </w:r>
      <w:r>
        <w:rPr>
          <w:rFonts w:hint="eastAsia"/>
        </w:rPr>
        <w:t>年</w:t>
      </w:r>
      <w:r>
        <w:t>7</w:t>
      </w:r>
      <w:r>
        <w:rPr>
          <w:rFonts w:hint="eastAsia"/>
        </w:rPr>
        <w:t>月住房和城乡建设部等部门印发的《绿色社区创建行动方案》中，提出</w:t>
      </w:r>
      <w:r>
        <w:t>“</w:t>
      </w:r>
      <w:r>
        <w:rPr>
          <w:rFonts w:hint="eastAsia"/>
        </w:rPr>
        <w:t>到</w:t>
      </w:r>
      <w:r>
        <w:t>2022</w:t>
      </w:r>
      <w:r>
        <w:rPr>
          <w:rFonts w:hint="eastAsia"/>
        </w:rPr>
        <w:t>年，力争全国</w:t>
      </w:r>
      <w:r>
        <w:t>60%</w:t>
      </w:r>
      <w:r>
        <w:rPr>
          <w:rFonts w:hint="eastAsia"/>
        </w:rPr>
        <w:t>以上的城市社区参与创建行动并达到创建要求</w:t>
      </w:r>
      <w:r>
        <w:t>”</w:t>
      </w:r>
      <w:r>
        <w:rPr>
          <w:rFonts w:hint="eastAsia"/>
        </w:rPr>
        <w:t>的目标，并制定</w:t>
      </w:r>
      <w:r>
        <w:t>“</w:t>
      </w:r>
      <w:r>
        <w:rPr>
          <w:rFonts w:hint="eastAsia"/>
        </w:rPr>
        <w:t>推进社区基础设施绿色化、提高社区信息化智能化水平、培育社区绿色文化</w:t>
      </w:r>
      <w:r>
        <w:t>”</w:t>
      </w:r>
      <w:r>
        <w:rPr>
          <w:rFonts w:hint="eastAsia"/>
        </w:rPr>
        <w:t>等创建内容。结合沈阳市打造智慧城市、健康城市的基本定位，且沈阳市发布并实施了《沈阳市智慧城市总体规划</w:t>
      </w:r>
      <w:r>
        <w:t>(2016-2020</w:t>
      </w:r>
      <w:r>
        <w:rPr>
          <w:rFonts w:hint="eastAsia"/>
        </w:rPr>
        <w:t>年</w:t>
      </w:r>
      <w:r>
        <w:t>)</w:t>
      </w:r>
      <w:r>
        <w:rPr>
          <w:rFonts w:hint="eastAsia"/>
        </w:rPr>
        <w:t>》，并于</w:t>
      </w:r>
      <w:r>
        <w:t>2020</w:t>
      </w:r>
      <w:r>
        <w:rPr>
          <w:rFonts w:hint="eastAsia"/>
        </w:rPr>
        <w:t>年发布了《沈阳市</w:t>
      </w:r>
      <w:r>
        <w:t>5G</w:t>
      </w:r>
      <w:r>
        <w:rPr>
          <w:rFonts w:hint="eastAsia"/>
        </w:rPr>
        <w:t>产业发展方案（</w:t>
      </w:r>
      <w:r>
        <w:t>2020-2021</w:t>
      </w:r>
      <w:r>
        <w:rPr>
          <w:rFonts w:hint="eastAsia"/>
        </w:rPr>
        <w:t>年）》，要求建设数据智能基础设施，提升沈阳市各云计算数据中心综合服务、安全防护和绿色节能水平的任务。目前沈阳市已具备一定开展绿色智慧住区的工作基础，绿色智慧住区建设作为智慧城市的一部分，其工作的开展将为推动沈阳市智慧城市的建设提供良好基础。</w:t>
      </w:r>
    </w:p>
    <w:p w14:paraId="58DFCE01">
      <w:pPr>
        <w:spacing w:before="156" w:beforeLines="50" w:line="360" w:lineRule="auto"/>
        <w:ind w:firstLine="482"/>
      </w:pPr>
      <w:r>
        <w:rPr>
          <w:rFonts w:hint="eastAsia"/>
          <w:b/>
          <w:bCs/>
        </w:rPr>
        <w:t>4、</w:t>
      </w:r>
      <w:r>
        <w:rPr>
          <w:b/>
          <w:bCs/>
        </w:rPr>
        <w:t>装配式建筑方面</w:t>
      </w:r>
    </w:p>
    <w:p w14:paraId="15362C47">
      <w:pPr>
        <w:spacing w:before="156" w:beforeLines="50" w:line="360" w:lineRule="auto"/>
      </w:pPr>
      <w:r>
        <w:t>大力发展装配式建筑、工业化建造、绿色建材，以建筑产业现代化引领沈阳建筑模式转型升级</w:t>
      </w:r>
      <w:r>
        <w:rPr>
          <w:rFonts w:hint="eastAsia"/>
        </w:rPr>
        <w:t>。</w:t>
      </w:r>
      <w:r>
        <w:t>《国务院办公厅关于大力发展装配式建筑的指导意见》（国办发〔2016〕71号）提出“力争用10年左右的时间，使装配式建筑占新建建筑面积的比例达到30%的目标”</w:t>
      </w:r>
      <w:r>
        <w:rPr>
          <w:rFonts w:hint="eastAsia"/>
        </w:rPr>
        <w:t>的工作目标，并提出了优化部品部件生产、提升装配施工水平、推进建筑全装修、推广绿色建材等重点任务。辽宁省始终重视建筑产业的现代化工作，在</w:t>
      </w:r>
      <w:r>
        <w:t>“</w:t>
      </w:r>
      <w:r>
        <w:rPr>
          <w:rFonts w:hint="eastAsia"/>
        </w:rPr>
        <w:t>十二五</w:t>
      </w:r>
      <w:r>
        <w:t>”</w:t>
      </w:r>
      <w:r>
        <w:rPr>
          <w:rFonts w:hint="eastAsia"/>
        </w:rPr>
        <w:t>期间就开展了大量活动，在</w:t>
      </w:r>
      <w:r>
        <w:t>“</w:t>
      </w:r>
      <w:r>
        <w:rPr>
          <w:rFonts w:hint="eastAsia"/>
        </w:rPr>
        <w:t>十三五</w:t>
      </w:r>
      <w:r>
        <w:t>”</w:t>
      </w:r>
      <w:r>
        <w:rPr>
          <w:rFonts w:hint="eastAsia"/>
        </w:rPr>
        <w:t>期间，《辽宁省住房和城乡建设事业发展</w:t>
      </w:r>
      <w:r>
        <w:t>“</w:t>
      </w:r>
      <w:r>
        <w:rPr>
          <w:rFonts w:hint="eastAsia"/>
        </w:rPr>
        <w:t>十三五</w:t>
      </w:r>
      <w:r>
        <w:t>”</w:t>
      </w:r>
      <w:r>
        <w:rPr>
          <w:rFonts w:hint="eastAsia"/>
        </w:rPr>
        <w:t>规划》提出</w:t>
      </w:r>
      <w:r>
        <w:t>“</w:t>
      </w:r>
      <w:r>
        <w:rPr>
          <w:rFonts w:hint="eastAsia"/>
        </w:rPr>
        <w:t>基本使用新型墙体材料和高效节能门窗，采用建筑产业现代化方式建造的住宅新开工面积占住宅新开工总面积比例逐年提高</w:t>
      </w:r>
      <w:r>
        <w:t>”</w:t>
      </w:r>
      <w:r>
        <w:rPr>
          <w:rFonts w:hint="eastAsia"/>
        </w:rPr>
        <w:t>的要求。沈阳市作为建筑产业现代化示范城市、国家装配式建筑示范城市，在开展建设模式转变方面具有优势，《沈阳市促进建筑业持续健康发展方案》就指出，截至</w:t>
      </w:r>
      <w:r>
        <w:t>2020</w:t>
      </w:r>
      <w:r>
        <w:rPr>
          <w:rFonts w:hint="eastAsia"/>
        </w:rPr>
        <w:t>年的重要任务之一就是突出建筑产业现代化在沈阳市传统建筑业转型升级、供给侧改革和企业发展等方面的引领作用。完善相关政策措施和管理体系，以工程项目建设为抓手，以产业发展为核心，努力打造现代建筑千亿产业链，到</w:t>
      </w:r>
      <w:r>
        <w:t>2020</w:t>
      </w:r>
      <w:r>
        <w:rPr>
          <w:rFonts w:hint="eastAsia"/>
        </w:rPr>
        <w:t>年，全市装配式建筑占新建建筑比例力争达到</w:t>
      </w:r>
      <w:r>
        <w:t>50%</w:t>
      </w:r>
      <w:r>
        <w:rPr>
          <w:rFonts w:hint="eastAsia"/>
        </w:rPr>
        <w:t>，</w:t>
      </w:r>
      <w:bookmarkStart w:id="49" w:name="_Hlk45879228"/>
      <w:r>
        <w:rPr>
          <w:rFonts w:hint="eastAsia"/>
        </w:rPr>
        <w:t>商品住房成品化比率达到</w:t>
      </w:r>
      <w:r>
        <w:t>50%</w:t>
      </w:r>
      <w:r>
        <w:rPr>
          <w:rFonts w:hint="eastAsia"/>
        </w:rPr>
        <w:t>以上，培育</w:t>
      </w:r>
      <w:r>
        <w:t>4</w:t>
      </w:r>
      <w:r>
        <w:rPr>
          <w:rFonts w:hint="eastAsia"/>
        </w:rPr>
        <w:t>个以上国家级装配式建筑产业示范基地和</w:t>
      </w:r>
      <w:r>
        <w:t>2</w:t>
      </w:r>
      <w:r>
        <w:rPr>
          <w:rFonts w:hint="eastAsia"/>
        </w:rPr>
        <w:t>个以上装配式建筑科技创新基地</w:t>
      </w:r>
      <w:bookmarkEnd w:id="49"/>
      <w:r>
        <w:rPr>
          <w:rFonts w:hint="eastAsia"/>
        </w:rPr>
        <w:t>，装配式建筑成为主要建造方式，建筑产业配套更加齐全，成为沈阳市重要支柱产业。《沈阳市开展质量提升行动的实施方案》也提出到</w:t>
      </w:r>
      <w:r>
        <w:t>2020</w:t>
      </w:r>
      <w:r>
        <w:rPr>
          <w:rFonts w:hint="eastAsia"/>
        </w:rPr>
        <w:t>年实现工业化建造比重不断提高的目标，并提出鼓励新型墙材料等绿色建材生产的措施。综上，建议明确到</w:t>
      </w:r>
      <w:r>
        <w:t>2025</w:t>
      </w:r>
      <w:r>
        <w:rPr>
          <w:rFonts w:hint="eastAsia"/>
        </w:rPr>
        <w:t>年沈阳市装配式建筑占城镇新建建筑的比例达到</w:t>
      </w:r>
      <w:r>
        <w:t>70%</w:t>
      </w:r>
      <w:r>
        <w:rPr>
          <w:rFonts w:hint="eastAsia"/>
        </w:rPr>
        <w:t>的目标。</w:t>
      </w:r>
    </w:p>
    <w:p w14:paraId="393FB026">
      <w:pPr>
        <w:spacing w:before="156" w:beforeLines="50" w:line="360" w:lineRule="auto"/>
        <w:ind w:firstLine="482"/>
      </w:pPr>
      <w:r>
        <w:rPr>
          <w:rFonts w:hint="eastAsia"/>
          <w:b/>
          <w:bCs/>
        </w:rPr>
        <w:t>5、</w:t>
      </w:r>
      <w:r>
        <w:rPr>
          <w:b/>
          <w:bCs/>
        </w:rPr>
        <w:t>再生能源应用</w:t>
      </w:r>
      <w:r>
        <w:rPr>
          <w:rFonts w:hint="eastAsia"/>
          <w:b/>
          <w:bCs/>
        </w:rPr>
        <w:t>和绿色节能技术研发</w:t>
      </w:r>
      <w:r>
        <w:rPr>
          <w:b/>
          <w:bCs/>
        </w:rPr>
        <w:t>方面</w:t>
      </w:r>
    </w:p>
    <w:p w14:paraId="7EA035CF">
      <w:pPr>
        <w:spacing w:before="156" w:beforeLines="50" w:line="360" w:lineRule="auto"/>
      </w:pPr>
      <w:r>
        <w:rPr>
          <w:rFonts w:hint="eastAsia"/>
        </w:rPr>
        <w:t>提高可再生能源在建筑领域的消费比重，统筹太阳能资源禀赋、建筑利用条件及用能需求，因地制宜推广使用太阳能光伏、太阳能光热、各类热泵系统等满足建筑采暖、制冷及生活热水需求。</w:t>
      </w:r>
    </w:p>
    <w:p w14:paraId="207ACE9E">
      <w:pPr>
        <w:spacing w:before="156" w:beforeLines="50" w:line="360" w:lineRule="auto"/>
      </w:pPr>
      <w:r>
        <w:t>一方面，《辽宁省“十三五”节能减排综合工作实施方案》提出：大力推广可再生能源在建筑上的应用，鼓励利用太阳能、浅层地热能、空气热能、工业余热等解决建筑用能需求。《“健康沈阳2030”行动规划》中提出：实施严格的燃煤总量控制，提高清洁和可再生能源利用率，推进“煤改清洁能源”工程实施。</w:t>
      </w:r>
    </w:p>
    <w:p w14:paraId="45FEAB84">
      <w:pPr>
        <w:spacing w:before="156" w:beforeLines="50" w:line="360" w:lineRule="auto"/>
      </w:pPr>
      <w:r>
        <w:rPr>
          <w:rFonts w:hint="eastAsia"/>
        </w:rPr>
        <w:t>另一方面，绿色技术对节能减排有重要作用，目前，绿色技术的创新正成为全球新一轮工业革命和科技竞争的重要新兴领域。《关于构建市场导向的绿色技术创新体系的指导意见（发改环资﹝</w:t>
      </w:r>
      <w:r>
        <w:t>2019</w:t>
      </w:r>
      <w:r>
        <w:rPr>
          <w:rFonts w:hint="eastAsia"/>
        </w:rPr>
        <w:t>﹞</w:t>
      </w:r>
      <w:r>
        <w:t>689</w:t>
      </w:r>
      <w:r>
        <w:rPr>
          <w:rFonts w:hint="eastAsia"/>
        </w:rPr>
        <w:t>号）》提出相应目标：到</w:t>
      </w:r>
      <w:r>
        <w:t>2022</w:t>
      </w:r>
      <w:r>
        <w:rPr>
          <w:rFonts w:hint="eastAsia"/>
        </w:rPr>
        <w:t>年，基本建成市场导向的绿色技术创新体系。企业绿色技术创新主体地位得到强化，出现一批龙头骨干企业，</w:t>
      </w:r>
      <w:r>
        <w:t>“</w:t>
      </w:r>
      <w:r>
        <w:rPr>
          <w:rFonts w:hint="eastAsia"/>
        </w:rPr>
        <w:t>产学研金介</w:t>
      </w:r>
      <w:r>
        <w:t>”</w:t>
      </w:r>
      <w:r>
        <w:rPr>
          <w:rFonts w:hint="eastAsia"/>
        </w:rPr>
        <w:t>深度融合、协同高效；绿色技术创新引导机制更加完善，绿色技术市场繁荣，人才、资金、知识等各类要素资源向绿色技术创新领域有效集聚，高效利用，要素价值得到充分体现；绿色技术创新综合示范区、绿色技术工程研究中心、创新中心等形成系统布局，高效运行，创新成果不断涌现并充分转化应用；绿色技术创新的法治、政策、融资环境充分优化，国际合作务实深入，创新基础能力显著增强。《辽宁省绿色建筑条例》明确了多项对绿色建筑技术的鼓励措施；《沈阳市</w:t>
      </w:r>
      <w:r>
        <w:t>“</w:t>
      </w:r>
      <w:r>
        <w:rPr>
          <w:rFonts w:hint="eastAsia"/>
        </w:rPr>
        <w:t>中国制造</w:t>
      </w:r>
      <w:r>
        <w:t>2025”</w:t>
      </w:r>
      <w:r>
        <w:rPr>
          <w:rFonts w:hint="eastAsia"/>
        </w:rPr>
        <w:t>实施方案》中，沈阳建设国家和区域制造业创新中心的重点方向之一为节能环保绿色建筑技术，通过</w:t>
      </w:r>
      <w:r>
        <w:t>“</w:t>
      </w:r>
      <w:r>
        <w:rPr>
          <w:rFonts w:hint="eastAsia"/>
        </w:rPr>
        <w:t>依托中辰钢构钢结构研发检测公共服务中心、省钢结构住宅产业化工程研究中心、省钢结构工程技术中心，联合辽宁省（沈阳）现代建筑产业技术创新战略联盟成员，积极争取国家、省级相关政策支持，构建面向全球的协同创新网路</w:t>
      </w:r>
      <w:r>
        <w:t>”</w:t>
      </w:r>
      <w:r>
        <w:rPr>
          <w:rFonts w:hint="eastAsia"/>
        </w:rPr>
        <w:t>的路径，将沈阳市建设成为区域制造业创新中心以及国内领先的绿色建筑技术研发基地。</w:t>
      </w:r>
    </w:p>
    <w:p w14:paraId="5B53470A">
      <w:pPr>
        <w:spacing w:before="156" w:beforeLines="50" w:line="360" w:lineRule="auto"/>
        <w:ind w:firstLine="482"/>
      </w:pPr>
      <w:r>
        <w:rPr>
          <w:rFonts w:hint="eastAsia"/>
          <w:b/>
          <w:bCs/>
        </w:rPr>
        <w:t>6、建筑能耗与碳排放方面</w:t>
      </w:r>
    </w:p>
    <w:p w14:paraId="08D45DDD">
      <w:pPr>
        <w:spacing w:before="156" w:beforeLines="50" w:line="360" w:lineRule="auto"/>
      </w:pPr>
      <w:r>
        <w:rPr>
          <w:rFonts w:hint="eastAsia"/>
        </w:rPr>
        <w:t>预测沈阳市建筑运行阶段碳排放在“十四五”期间将继续增长。“十四五”末期，</w:t>
      </w:r>
      <w:r>
        <w:t>2025</w:t>
      </w:r>
      <w:r>
        <w:rPr>
          <w:rFonts w:hint="eastAsia"/>
        </w:rPr>
        <w:t>年沈阳市总建筑能耗为1</w:t>
      </w:r>
      <w:r>
        <w:t>879</w:t>
      </w:r>
      <w:r>
        <w:rPr>
          <w:rFonts w:hint="eastAsia"/>
        </w:rPr>
        <w:t>万吨标准煤，相比2</w:t>
      </w:r>
      <w:r>
        <w:t>019</w:t>
      </w:r>
      <w:r>
        <w:rPr>
          <w:rFonts w:hint="eastAsia"/>
        </w:rPr>
        <w:t>年增量为3</w:t>
      </w:r>
      <w:r>
        <w:t>85</w:t>
      </w:r>
      <w:r>
        <w:rPr>
          <w:rFonts w:hint="eastAsia"/>
        </w:rPr>
        <w:t>万吨标准煤，建筑碳排放为4</w:t>
      </w:r>
      <w:r>
        <w:t>135</w:t>
      </w:r>
      <w:r>
        <w:rPr>
          <w:rFonts w:hint="eastAsia"/>
        </w:rPr>
        <w:t>万吨二氧化碳，相比2</w:t>
      </w:r>
      <w:r>
        <w:t>019</w:t>
      </w:r>
      <w:r>
        <w:rPr>
          <w:rFonts w:hint="eastAsia"/>
        </w:rPr>
        <w:t>年增量为</w:t>
      </w:r>
      <w:r>
        <w:t>742</w:t>
      </w:r>
      <w:r>
        <w:rPr>
          <w:rFonts w:hint="eastAsia"/>
        </w:rPr>
        <w:t>万吨二氧化碳。</w:t>
      </w:r>
    </w:p>
    <w:p w14:paraId="3EBC447E">
      <w:pPr>
        <w:spacing w:before="156" w:beforeLines="50" w:line="360" w:lineRule="auto"/>
      </w:pPr>
      <w:r>
        <w:rPr>
          <w:rFonts w:hint="eastAsia"/>
        </w:rPr>
        <w:t>其中，公共建筑运行能耗为7</w:t>
      </w:r>
      <w:r>
        <w:t>17</w:t>
      </w:r>
      <w:r>
        <w:rPr>
          <w:rFonts w:hint="eastAsia"/>
        </w:rPr>
        <w:t>万吨标准煤，建筑碳排放为</w:t>
      </w:r>
      <w:r>
        <w:t>1587</w:t>
      </w:r>
      <w:r>
        <w:rPr>
          <w:rFonts w:hint="eastAsia"/>
        </w:rPr>
        <w:t>万吨二氧化碳；城镇居住建筑运行能耗为</w:t>
      </w:r>
      <w:r>
        <w:t>991</w:t>
      </w:r>
      <w:r>
        <w:rPr>
          <w:rFonts w:hint="eastAsia"/>
        </w:rPr>
        <w:t>万吨标准煤，碳排放为</w:t>
      </w:r>
      <w:r>
        <w:t>2195</w:t>
      </w:r>
      <w:r>
        <w:rPr>
          <w:rFonts w:hint="eastAsia"/>
        </w:rPr>
        <w:t>万吨二氧化碳；农村居住建筑运行能耗为</w:t>
      </w:r>
      <w:r>
        <w:t>171</w:t>
      </w:r>
      <w:r>
        <w:rPr>
          <w:rFonts w:hint="eastAsia"/>
        </w:rPr>
        <w:t>万吨标准煤，碳排放为</w:t>
      </w:r>
      <w:r>
        <w:t>353</w:t>
      </w:r>
      <w:r>
        <w:rPr>
          <w:rFonts w:hint="eastAsia"/>
        </w:rPr>
        <w:t>万吨二氧化碳。分建筑类别来看，未来建筑运行碳排放主要来自城镇居住建筑，其排放量占全部量的</w:t>
      </w:r>
      <w:r>
        <w:t>53%</w:t>
      </w:r>
      <w:r>
        <w:rPr>
          <w:rFonts w:hint="eastAsia"/>
        </w:rPr>
        <w:t>。</w:t>
      </w:r>
    </w:p>
    <w:p w14:paraId="1AE523D4">
      <w:pPr>
        <w:ind w:left="480" w:firstLine="0" w:firstLineChars="0"/>
      </w:pPr>
    </w:p>
    <w:p w14:paraId="25969C48">
      <w:pPr>
        <w:jc w:val="center"/>
      </w:pPr>
      <w:r>
        <w:drawing>
          <wp:inline distT="0" distB="0" distL="0" distR="0">
            <wp:extent cx="3109595" cy="2195195"/>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63B3445">
      <w:r>
        <w:rPr>
          <w:rFonts w:hint="eastAsia"/>
        </w:rPr>
        <w:t>图</w:t>
      </w:r>
      <w:r>
        <w:t>4-1 2025</w:t>
      </w:r>
      <w:r>
        <w:rPr>
          <w:rFonts w:hint="eastAsia"/>
        </w:rPr>
        <w:t>年沈阳市建筑运行碳排放</w:t>
      </w:r>
      <w:r>
        <w:t>预测结果</w:t>
      </w:r>
    </w:p>
    <w:p w14:paraId="6CD06AAB">
      <w:pPr>
        <w:spacing w:before="156" w:beforeLines="50" w:line="360" w:lineRule="auto"/>
      </w:pPr>
      <w:r>
        <w:rPr>
          <w:rFonts w:hint="eastAsia"/>
        </w:rPr>
        <w:t>根据沈阳市城乡建设局提供的2010至2019年的沈阳地区全社会用电分类表数据，测算沈阳市建筑领域电耗。2</w:t>
      </w:r>
      <w:r>
        <w:t>019</w:t>
      </w:r>
      <w:r>
        <w:rPr>
          <w:rFonts w:hint="eastAsia"/>
        </w:rPr>
        <w:t>年，沈阳市建筑运行阶段电耗为</w:t>
      </w:r>
      <w:r>
        <w:t>655</w:t>
      </w:r>
      <w:r>
        <w:rPr>
          <w:rFonts w:hint="eastAsia"/>
        </w:rPr>
        <w:t>万吨标准煤，建筑电力碳排放为</w:t>
      </w:r>
      <w:r>
        <w:t>1402</w:t>
      </w:r>
      <w:r>
        <w:rPr>
          <w:rFonts w:hint="eastAsia"/>
        </w:rPr>
        <w:t>吨二氧化碳；预测结果显示，到2</w:t>
      </w:r>
      <w:r>
        <w:t>025</w:t>
      </w:r>
      <w:r>
        <w:rPr>
          <w:rFonts w:hint="eastAsia"/>
        </w:rPr>
        <w:t>年，沈阳市建筑运行阶段电耗为</w:t>
      </w:r>
      <w:r>
        <w:t>840</w:t>
      </w:r>
      <w:r>
        <w:rPr>
          <w:rFonts w:hint="eastAsia"/>
        </w:rPr>
        <w:t>万吨标准煤，建筑电力碳排放为</w:t>
      </w:r>
      <w:r>
        <w:t>1806</w:t>
      </w:r>
      <w:r>
        <w:rPr>
          <w:rFonts w:hint="eastAsia"/>
        </w:rPr>
        <w:t>吨二氧化碳。</w:t>
      </w:r>
    </w:p>
    <w:p w14:paraId="489A9B4E">
      <w: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150495</wp:posOffset>
                </wp:positionV>
                <wp:extent cx="0" cy="1676400"/>
                <wp:effectExtent l="9525" t="6985" r="9525" b="12065"/>
                <wp:wrapNone/>
                <wp:docPr id="38" name="AutoShape 7"/>
                <wp:cNvGraphicFramePr/>
                <a:graphic xmlns:a="http://schemas.openxmlformats.org/drawingml/2006/main">
                  <a:graphicData uri="http://schemas.microsoft.com/office/word/2010/wordprocessingShape">
                    <wps:wsp>
                      <wps:cNvCnPr>
                        <a:cxnSpLocks noChangeShapeType="1"/>
                      </wps:cNvCnPr>
                      <wps:spPr bwMode="auto">
                        <a:xfrm>
                          <a:off x="0" y="0"/>
                          <a:ext cx="0" cy="1676400"/>
                        </a:xfrm>
                        <a:prstGeom prst="straightConnector1">
                          <a:avLst/>
                        </a:prstGeom>
                        <a:noFill/>
                        <a:ln w="12700">
                          <a:solidFill>
                            <a:schemeClr val="dk1">
                              <a:lumMod val="100000"/>
                              <a:lumOff val="0"/>
                            </a:schemeClr>
                          </a:solidFill>
                          <a:prstDash val="dash"/>
                          <a:round/>
                        </a:ln>
                        <a:effectLst/>
                      </wps:spPr>
                      <wps:bodyPr/>
                    </wps:wsp>
                  </a:graphicData>
                </a:graphic>
              </wp:anchor>
            </w:drawing>
          </mc:Choice>
          <mc:Fallback>
            <w:pict>
              <v:shape id="AutoShape 7" o:spid="_x0000_s1026" o:spt="32" type="#_x0000_t32" style="position:absolute;left:0pt;margin-left:288pt;margin-top:11.85pt;height:132pt;width:0pt;z-index:251660288;mso-width-relative:page;mso-height-relative:page;" filled="f" stroked="t" coordsize="21600,21600" o:gfxdata="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yWzrdcAAAAKAQAADwAAAAAAAAABACAAAAAiAAAAZHJzL2Rvd25yZXYueG1s&#10;UEsBAhQAFAAAAAgAh07iQJl5tun5AQAAEAQAAA4AAAAAAAAAAQAgAAAAJgEAAGRycy9lMm9Eb2Mu&#10;eG1sUEsFBgAAAAAGAAYAWQEAAJEFAAAAAA==&#10;">
                <v:fill on="f" focussize="0,0"/>
                <v:stroke weight="1pt" color="#000000 [3216]" joinstyle="round" dashstyle="dash"/>
                <v:imagedata o:title=""/>
                <o:lock v:ext="edit" aspectratio="f"/>
              </v:shape>
            </w:pict>
          </mc:Fallback>
        </mc:AlternateContent>
      </w:r>
      <w:r>
        <w:drawing>
          <wp:inline distT="0" distB="0" distL="0" distR="0">
            <wp:extent cx="5274310" cy="2240915"/>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3915F65">
      <w:r>
        <w:t>图</w:t>
      </w:r>
      <w:r>
        <w:rPr>
          <w:rFonts w:hint="eastAsia"/>
        </w:rPr>
        <w:t>4</w:t>
      </w:r>
      <w:r>
        <w:t>-2 2025</w:t>
      </w:r>
      <w:r>
        <w:rPr>
          <w:rFonts w:hint="eastAsia"/>
        </w:rPr>
        <w:t>年沈阳市建筑电耗与建筑碳排放</w:t>
      </w:r>
      <w:r>
        <w:t>预测结果</w:t>
      </w:r>
    </w:p>
    <w:p w14:paraId="1E3CA8B8">
      <w:pPr>
        <w:spacing w:before="156" w:beforeLines="50" w:line="360" w:lineRule="auto"/>
      </w:pPr>
    </w:p>
    <w:p w14:paraId="328400DC">
      <w:pPr>
        <w:spacing w:before="156" w:beforeLines="50" w:line="360" w:lineRule="auto"/>
      </w:pPr>
      <w:r>
        <w:rPr>
          <w:rFonts w:hint="eastAsia"/>
        </w:rPr>
        <w:t>结合上述分析，“十四五”期间，沈阳市城镇新建民用建筑全面按照绿色建筑基本级及以上标准规划建设，其中，按照绿色建筑一星级及以上标准进行规划建设的面积比例达到</w:t>
      </w:r>
      <w:r>
        <w:t>30%以上，城镇新建民用建筑全面执行民用建筑节能强制性规范标准，建设超低能耗建筑50万平方米，基本完成对2000年底前建成的有改造价值的城镇老旧小区的节能改造，完成既有建筑绿色改造15个示范区创建，装配式建筑占城镇新建建筑的比例持续提升，绿色建材在新建建筑中的应用比重逐步提高，城镇可再生能源应用规模不断扩大，清洁取暖率实现100%。到2025年，实现民用建筑能耗和碳排放总量发</w:t>
      </w:r>
      <w:r>
        <w:rPr>
          <w:rFonts w:hint="eastAsia"/>
        </w:rPr>
        <w:t>展趋势基本平稳，民用建筑能耗和碳排放强度得到有效控制。</w:t>
      </w:r>
    </w:p>
    <w:p w14:paraId="18CB8A58">
      <w:pPr>
        <w:pStyle w:val="44"/>
        <w:spacing w:line="360" w:lineRule="auto"/>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专栏1  沈阳市“十四五”时期发展指标</w:t>
      </w:r>
    </w:p>
    <w:tbl>
      <w:tblPr>
        <w:tblStyle w:val="21"/>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9"/>
        <w:gridCol w:w="1020"/>
        <w:gridCol w:w="1020"/>
        <w:gridCol w:w="1461"/>
      </w:tblGrid>
      <w:tr w14:paraId="6DC4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9" w:type="dxa"/>
            <w:vAlign w:val="center"/>
          </w:tcPr>
          <w:p w14:paraId="665AA027">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主要指标</w:t>
            </w:r>
          </w:p>
        </w:tc>
        <w:tc>
          <w:tcPr>
            <w:tcW w:w="1020" w:type="dxa"/>
            <w:vAlign w:val="center"/>
          </w:tcPr>
          <w:p w14:paraId="7DA122C5">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2020</w:t>
            </w:r>
          </w:p>
        </w:tc>
        <w:tc>
          <w:tcPr>
            <w:tcW w:w="1020" w:type="dxa"/>
            <w:vAlign w:val="center"/>
          </w:tcPr>
          <w:p w14:paraId="3E233FF4">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2025</w:t>
            </w:r>
          </w:p>
        </w:tc>
        <w:tc>
          <w:tcPr>
            <w:tcW w:w="1461" w:type="dxa"/>
            <w:vAlign w:val="center"/>
          </w:tcPr>
          <w:p w14:paraId="1BA533DB">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性质</w:t>
            </w:r>
          </w:p>
        </w:tc>
      </w:tr>
      <w:tr w14:paraId="4C92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9" w:type="dxa"/>
            <w:vAlign w:val="center"/>
          </w:tcPr>
          <w:p w14:paraId="77DD1C78">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城镇新建居住建筑执行节能标准（%）</w:t>
            </w:r>
          </w:p>
        </w:tc>
        <w:tc>
          <w:tcPr>
            <w:tcW w:w="1020" w:type="dxa"/>
            <w:vAlign w:val="center"/>
          </w:tcPr>
          <w:p w14:paraId="09C35C0D">
            <w:pPr>
              <w:pStyle w:val="44"/>
              <w:ind w:firstLine="0" w:firstLineChars="0"/>
              <w:jc w:val="center"/>
              <w:rPr>
                <w:rFonts w:ascii="Times New Roman" w:hAnsi="Times New Roman" w:cs="Times New Roman"/>
                <w:b/>
                <w:bCs/>
                <w:sz w:val="21"/>
                <w:szCs w:val="21"/>
              </w:rPr>
            </w:pPr>
          </w:p>
        </w:tc>
        <w:tc>
          <w:tcPr>
            <w:tcW w:w="1020" w:type="dxa"/>
            <w:vAlign w:val="center"/>
          </w:tcPr>
          <w:p w14:paraId="4E65044A">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75</w:t>
            </w:r>
          </w:p>
        </w:tc>
        <w:tc>
          <w:tcPr>
            <w:tcW w:w="1461" w:type="dxa"/>
            <w:vAlign w:val="center"/>
          </w:tcPr>
          <w:p w14:paraId="55A3CAE2">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约束性</w:t>
            </w:r>
          </w:p>
        </w:tc>
      </w:tr>
      <w:tr w14:paraId="18E4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9" w:type="dxa"/>
            <w:vAlign w:val="center"/>
          </w:tcPr>
          <w:p w14:paraId="51D79B7B">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城镇新建公共建筑执行节能标准（%）</w:t>
            </w:r>
          </w:p>
        </w:tc>
        <w:tc>
          <w:tcPr>
            <w:tcW w:w="1020" w:type="dxa"/>
            <w:vAlign w:val="center"/>
          </w:tcPr>
          <w:p w14:paraId="6ECDC501">
            <w:pPr>
              <w:pStyle w:val="44"/>
              <w:ind w:firstLine="0" w:firstLineChars="0"/>
              <w:jc w:val="center"/>
              <w:rPr>
                <w:rFonts w:ascii="Times New Roman" w:hAnsi="Times New Roman" w:cs="Times New Roman"/>
                <w:b/>
                <w:bCs/>
                <w:sz w:val="21"/>
                <w:szCs w:val="21"/>
              </w:rPr>
            </w:pPr>
          </w:p>
        </w:tc>
        <w:tc>
          <w:tcPr>
            <w:tcW w:w="1020" w:type="dxa"/>
            <w:vAlign w:val="center"/>
          </w:tcPr>
          <w:p w14:paraId="75DA5543">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72</w:t>
            </w:r>
          </w:p>
        </w:tc>
        <w:tc>
          <w:tcPr>
            <w:tcW w:w="1461" w:type="dxa"/>
            <w:vAlign w:val="center"/>
          </w:tcPr>
          <w:p w14:paraId="3A014906">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约束性</w:t>
            </w:r>
          </w:p>
        </w:tc>
      </w:tr>
      <w:tr w14:paraId="6725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9" w:type="dxa"/>
            <w:vAlign w:val="center"/>
          </w:tcPr>
          <w:p w14:paraId="0A102283">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城镇绿色建筑占新建民用建筑比重（%）</w:t>
            </w:r>
          </w:p>
        </w:tc>
        <w:tc>
          <w:tcPr>
            <w:tcW w:w="1020" w:type="dxa"/>
            <w:vAlign w:val="center"/>
          </w:tcPr>
          <w:p w14:paraId="774B224C">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80</w:t>
            </w:r>
          </w:p>
        </w:tc>
        <w:tc>
          <w:tcPr>
            <w:tcW w:w="1020" w:type="dxa"/>
            <w:vAlign w:val="center"/>
          </w:tcPr>
          <w:p w14:paraId="7E767477">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100</w:t>
            </w:r>
          </w:p>
        </w:tc>
        <w:tc>
          <w:tcPr>
            <w:tcW w:w="1461" w:type="dxa"/>
            <w:vAlign w:val="center"/>
          </w:tcPr>
          <w:p w14:paraId="113FBCBD">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约束性</w:t>
            </w:r>
          </w:p>
        </w:tc>
      </w:tr>
      <w:tr w14:paraId="4FF4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9" w:type="dxa"/>
            <w:vAlign w:val="center"/>
          </w:tcPr>
          <w:p w14:paraId="5D606D30">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城镇新建建筑中装配式建筑比例（%）</w:t>
            </w:r>
          </w:p>
        </w:tc>
        <w:tc>
          <w:tcPr>
            <w:tcW w:w="1020" w:type="dxa"/>
            <w:vAlign w:val="center"/>
          </w:tcPr>
          <w:p w14:paraId="3CF392AF">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55</w:t>
            </w:r>
          </w:p>
        </w:tc>
        <w:tc>
          <w:tcPr>
            <w:tcW w:w="1020" w:type="dxa"/>
            <w:vAlign w:val="center"/>
          </w:tcPr>
          <w:p w14:paraId="012157F5">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70</w:t>
            </w:r>
          </w:p>
        </w:tc>
        <w:tc>
          <w:tcPr>
            <w:tcW w:w="1461" w:type="dxa"/>
            <w:vAlign w:val="center"/>
          </w:tcPr>
          <w:p w14:paraId="33BE7306">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约束性</w:t>
            </w:r>
          </w:p>
        </w:tc>
      </w:tr>
      <w:tr w14:paraId="630D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9" w:type="dxa"/>
            <w:vAlign w:val="center"/>
          </w:tcPr>
          <w:p w14:paraId="60E66727">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既有建筑绿色改造示范区个数</w:t>
            </w:r>
            <w:r>
              <w:rPr>
                <w:rFonts w:hint="eastAsia" w:ascii="Times New Roman" w:hAnsi="Times New Roman" w:cs="Times New Roman"/>
                <w:sz w:val="21"/>
                <w:szCs w:val="21"/>
              </w:rPr>
              <w:t>（个）</w:t>
            </w:r>
          </w:p>
        </w:tc>
        <w:tc>
          <w:tcPr>
            <w:tcW w:w="1020" w:type="dxa"/>
            <w:vAlign w:val="center"/>
          </w:tcPr>
          <w:p w14:paraId="1E067BAF">
            <w:pPr>
              <w:pStyle w:val="44"/>
              <w:ind w:firstLine="0" w:firstLineChars="0"/>
              <w:jc w:val="center"/>
              <w:rPr>
                <w:rFonts w:ascii="Times New Roman" w:hAnsi="Times New Roman" w:cs="Times New Roman"/>
                <w:b/>
                <w:bCs/>
                <w:sz w:val="21"/>
                <w:szCs w:val="21"/>
              </w:rPr>
            </w:pPr>
          </w:p>
        </w:tc>
        <w:tc>
          <w:tcPr>
            <w:tcW w:w="1020" w:type="dxa"/>
            <w:vAlign w:val="center"/>
          </w:tcPr>
          <w:p w14:paraId="611522E1">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15</w:t>
            </w:r>
          </w:p>
        </w:tc>
        <w:tc>
          <w:tcPr>
            <w:tcW w:w="1461" w:type="dxa"/>
            <w:vAlign w:val="center"/>
          </w:tcPr>
          <w:p w14:paraId="3FDCE7F1">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预期性</w:t>
            </w:r>
          </w:p>
        </w:tc>
      </w:tr>
      <w:tr w14:paraId="690F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9" w:type="dxa"/>
            <w:vAlign w:val="center"/>
          </w:tcPr>
          <w:p w14:paraId="6B177FA4">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城镇建筑中可再生能源替代率（%）</w:t>
            </w:r>
          </w:p>
        </w:tc>
        <w:tc>
          <w:tcPr>
            <w:tcW w:w="1020" w:type="dxa"/>
            <w:vAlign w:val="center"/>
          </w:tcPr>
          <w:p w14:paraId="28ECDE58">
            <w:pPr>
              <w:pStyle w:val="44"/>
              <w:ind w:firstLine="0" w:firstLineChars="0"/>
              <w:jc w:val="center"/>
              <w:rPr>
                <w:rFonts w:ascii="Times New Roman" w:hAnsi="Times New Roman" w:cs="Times New Roman"/>
                <w:b/>
                <w:bCs/>
                <w:sz w:val="21"/>
                <w:szCs w:val="21"/>
              </w:rPr>
            </w:pPr>
          </w:p>
        </w:tc>
        <w:tc>
          <w:tcPr>
            <w:tcW w:w="1020" w:type="dxa"/>
            <w:vAlign w:val="center"/>
          </w:tcPr>
          <w:p w14:paraId="28FBBDEC">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8</w:t>
            </w:r>
          </w:p>
        </w:tc>
        <w:tc>
          <w:tcPr>
            <w:tcW w:w="1461" w:type="dxa"/>
            <w:vAlign w:val="center"/>
          </w:tcPr>
          <w:p w14:paraId="38D4105A">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预期性</w:t>
            </w:r>
          </w:p>
        </w:tc>
      </w:tr>
      <w:tr w14:paraId="4365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9" w:type="dxa"/>
            <w:vAlign w:val="center"/>
          </w:tcPr>
          <w:p w14:paraId="72063CB4">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清洁取暖率（%）</w:t>
            </w:r>
          </w:p>
        </w:tc>
        <w:tc>
          <w:tcPr>
            <w:tcW w:w="1020" w:type="dxa"/>
            <w:vAlign w:val="center"/>
          </w:tcPr>
          <w:p w14:paraId="71BF75CB">
            <w:pPr>
              <w:pStyle w:val="44"/>
              <w:ind w:firstLine="0" w:firstLineChars="0"/>
              <w:jc w:val="center"/>
              <w:rPr>
                <w:rFonts w:ascii="Times New Roman" w:hAnsi="Times New Roman" w:cs="Times New Roman"/>
                <w:b/>
                <w:bCs/>
                <w:sz w:val="21"/>
                <w:szCs w:val="21"/>
              </w:rPr>
            </w:pPr>
          </w:p>
        </w:tc>
        <w:tc>
          <w:tcPr>
            <w:tcW w:w="1020" w:type="dxa"/>
            <w:vAlign w:val="center"/>
          </w:tcPr>
          <w:p w14:paraId="014CECC3">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100</w:t>
            </w:r>
          </w:p>
        </w:tc>
        <w:tc>
          <w:tcPr>
            <w:tcW w:w="1461" w:type="dxa"/>
            <w:vAlign w:val="center"/>
          </w:tcPr>
          <w:p w14:paraId="3B460A74">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预期性</w:t>
            </w:r>
          </w:p>
        </w:tc>
      </w:tr>
      <w:tr w14:paraId="06CF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9" w:type="dxa"/>
            <w:vAlign w:val="center"/>
          </w:tcPr>
          <w:p w14:paraId="0287829F">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新建建筑中绿色建材应用比例</w:t>
            </w:r>
            <w:r>
              <w:rPr>
                <w:rFonts w:hint="eastAsia" w:ascii="Times New Roman" w:hAnsi="Times New Roman" w:cs="Times New Roman"/>
                <w:sz w:val="21"/>
                <w:szCs w:val="21"/>
              </w:rPr>
              <w:t>（%）</w:t>
            </w:r>
          </w:p>
        </w:tc>
        <w:tc>
          <w:tcPr>
            <w:tcW w:w="1020" w:type="dxa"/>
            <w:vAlign w:val="center"/>
          </w:tcPr>
          <w:p w14:paraId="077083A5">
            <w:pPr>
              <w:pStyle w:val="44"/>
              <w:ind w:firstLine="0" w:firstLineChars="0"/>
              <w:jc w:val="center"/>
              <w:rPr>
                <w:rFonts w:ascii="Times New Roman" w:hAnsi="Times New Roman" w:cs="Times New Roman"/>
                <w:b/>
                <w:bCs/>
                <w:sz w:val="21"/>
                <w:szCs w:val="21"/>
              </w:rPr>
            </w:pPr>
          </w:p>
        </w:tc>
        <w:tc>
          <w:tcPr>
            <w:tcW w:w="1020" w:type="dxa"/>
            <w:vAlign w:val="center"/>
          </w:tcPr>
          <w:p w14:paraId="3CD37799">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70</w:t>
            </w:r>
          </w:p>
        </w:tc>
        <w:tc>
          <w:tcPr>
            <w:tcW w:w="1461" w:type="dxa"/>
            <w:vAlign w:val="center"/>
          </w:tcPr>
          <w:p w14:paraId="24DAC2CC">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预期性</w:t>
            </w:r>
          </w:p>
        </w:tc>
      </w:tr>
      <w:tr w14:paraId="67EE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9" w:type="dxa"/>
            <w:vAlign w:val="center"/>
          </w:tcPr>
          <w:p w14:paraId="43C350F2">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超低能耗建筑面积（万平方米）</w:t>
            </w:r>
          </w:p>
        </w:tc>
        <w:tc>
          <w:tcPr>
            <w:tcW w:w="1020" w:type="dxa"/>
            <w:vAlign w:val="center"/>
          </w:tcPr>
          <w:p w14:paraId="0AC08638">
            <w:pPr>
              <w:pStyle w:val="44"/>
              <w:ind w:firstLine="0" w:firstLineChars="0"/>
              <w:jc w:val="center"/>
              <w:rPr>
                <w:rFonts w:ascii="Times New Roman" w:hAnsi="Times New Roman" w:cs="Times New Roman"/>
                <w:b/>
                <w:bCs/>
                <w:sz w:val="21"/>
                <w:szCs w:val="21"/>
              </w:rPr>
            </w:pPr>
          </w:p>
        </w:tc>
        <w:tc>
          <w:tcPr>
            <w:tcW w:w="1020" w:type="dxa"/>
            <w:vAlign w:val="center"/>
          </w:tcPr>
          <w:p w14:paraId="00CCF0B3">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50</w:t>
            </w:r>
          </w:p>
        </w:tc>
        <w:tc>
          <w:tcPr>
            <w:tcW w:w="1461" w:type="dxa"/>
            <w:vAlign w:val="center"/>
          </w:tcPr>
          <w:p w14:paraId="1EC1C0B0">
            <w:pPr>
              <w:pStyle w:val="44"/>
              <w:ind w:firstLine="0" w:firstLineChars="0"/>
              <w:jc w:val="center"/>
              <w:rPr>
                <w:rFonts w:ascii="Times New Roman" w:hAnsi="Times New Roman" w:cs="Times New Roman"/>
                <w:b/>
                <w:bCs/>
                <w:sz w:val="21"/>
                <w:szCs w:val="21"/>
              </w:rPr>
            </w:pPr>
            <w:r>
              <w:rPr>
                <w:rFonts w:ascii="Times New Roman" w:hAnsi="Times New Roman" w:cs="Times New Roman"/>
                <w:sz w:val="21"/>
                <w:szCs w:val="21"/>
              </w:rPr>
              <w:t>预期性</w:t>
            </w:r>
          </w:p>
        </w:tc>
      </w:tr>
    </w:tbl>
    <w:p w14:paraId="58DE9B2C">
      <w:pPr>
        <w:spacing w:before="156" w:beforeLines="50" w:line="360" w:lineRule="auto"/>
        <w:ind w:firstLine="0" w:firstLineChars="0"/>
      </w:pPr>
    </w:p>
    <w:p w14:paraId="0D2F28BD">
      <w:pPr>
        <w:widowControl/>
        <w:suppressAutoHyphens w:val="0"/>
        <w:spacing w:line="240" w:lineRule="auto"/>
        <w:ind w:firstLine="0" w:firstLineChars="0"/>
        <w:jc w:val="left"/>
        <w:rPr>
          <w:b/>
          <w:sz w:val="21"/>
        </w:rPr>
      </w:pPr>
    </w:p>
    <w:bookmarkEnd w:id="45"/>
    <w:bookmarkEnd w:id="46"/>
    <w:p w14:paraId="618E3E0E">
      <w:r>
        <w:br w:type="page"/>
      </w:r>
    </w:p>
    <w:p w14:paraId="0D40D881">
      <w:pPr>
        <w:pStyle w:val="2"/>
        <w:numPr>
          <w:ilvl w:val="0"/>
          <w:numId w:val="5"/>
        </w:numPr>
        <w:ind w:left="0" w:firstLine="0"/>
        <w:rPr>
          <w:rFonts w:ascii="黑体" w:hAnsi="黑体" w:eastAsia="黑体"/>
          <w:b w:val="0"/>
          <w:bCs w:val="0"/>
          <w:sz w:val="30"/>
          <w:szCs w:val="30"/>
        </w:rPr>
      </w:pPr>
      <w:bookmarkStart w:id="50" w:name="_Toc76743828"/>
      <w:r>
        <w:rPr>
          <w:rFonts w:hint="eastAsia" w:ascii="黑体" w:hAnsi="黑体" w:eastAsia="黑体"/>
          <w:b w:val="0"/>
          <w:bCs w:val="0"/>
          <w:sz w:val="30"/>
          <w:szCs w:val="30"/>
        </w:rPr>
        <w:t>重点任务</w:t>
      </w:r>
      <w:bookmarkEnd w:id="50"/>
    </w:p>
    <w:p w14:paraId="68A23902">
      <w:pPr>
        <w:spacing w:before="156" w:beforeLines="50" w:line="360" w:lineRule="auto"/>
      </w:pPr>
    </w:p>
    <w:p w14:paraId="24093282">
      <w:pPr>
        <w:pStyle w:val="3"/>
        <w:ind w:left="0" w:firstLine="482"/>
        <w:rPr>
          <w:rFonts w:ascii="Times New Roman" w:hAnsi="Times New Roman"/>
        </w:rPr>
      </w:pPr>
      <w:bookmarkStart w:id="51" w:name="_Toc91234870"/>
      <w:r>
        <w:rPr>
          <w:rFonts w:hint="eastAsia" w:ascii="黑体" w:hAnsi="黑体" w:eastAsia="黑体"/>
        </w:rPr>
        <w:t>提升建筑能效和低碳水平</w:t>
      </w:r>
      <w:bookmarkEnd w:id="51"/>
    </w:p>
    <w:p w14:paraId="654623E9">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将节能低碳理念贯彻落实到建筑规划、设计、施工、运行的全过程，提高建筑能效水平，构建清洁、低碳、高效、安全的建筑能源体系，在控制建筑能耗增量的同时，探索建筑领域低碳发展路线。</w:t>
      </w:r>
    </w:p>
    <w:p w14:paraId="0E89E51F">
      <w:pPr>
        <w:pStyle w:val="4"/>
        <w:numPr>
          <w:ilvl w:val="2"/>
          <w:numId w:val="14"/>
        </w:numPr>
        <w:spacing w:before="0" w:beforeLines="0"/>
        <w:rPr>
          <w:rFonts w:ascii="楷体" w:hAnsi="楷体" w:eastAsia="楷体"/>
          <w:b w:val="0"/>
        </w:rPr>
      </w:pPr>
      <w:bookmarkStart w:id="52" w:name="_Toc91234871"/>
      <w:r>
        <w:rPr>
          <w:rFonts w:hint="eastAsia" w:ascii="楷体" w:hAnsi="楷体" w:eastAsia="楷体"/>
          <w:b w:val="0"/>
          <w:bCs/>
          <w:sz w:val="28"/>
          <w:szCs w:val="28"/>
        </w:rPr>
        <w:t>进一步提升新建建筑能效水平</w:t>
      </w:r>
      <w:bookmarkEnd w:id="52"/>
    </w:p>
    <w:p w14:paraId="1EECB469">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严格贯彻国家民用建筑节能强制性标准要求，全面执行新建居住建筑</w:t>
      </w:r>
      <w:r>
        <w:rPr>
          <w:rFonts w:ascii="Times New Roman" w:hAnsi="Times New Roman" w:cs="Times New Roman"/>
          <w:sz w:val="24"/>
          <w:szCs w:val="24"/>
        </w:rPr>
        <w:t>75%</w:t>
      </w:r>
      <w:r>
        <w:rPr>
          <w:rFonts w:hint="eastAsia" w:ascii="Times New Roman" w:hAnsi="Times New Roman" w:cs="Times New Roman"/>
          <w:sz w:val="24"/>
          <w:szCs w:val="24"/>
        </w:rPr>
        <w:t>、公共建筑</w:t>
      </w:r>
      <w:r>
        <w:rPr>
          <w:rFonts w:ascii="Times New Roman" w:hAnsi="Times New Roman" w:cs="Times New Roman"/>
          <w:sz w:val="24"/>
          <w:szCs w:val="24"/>
        </w:rPr>
        <w:t>72%</w:t>
      </w:r>
      <w:r>
        <w:rPr>
          <w:rFonts w:hint="eastAsia" w:ascii="Times New Roman" w:hAnsi="Times New Roman" w:cs="Times New Roman"/>
          <w:sz w:val="24"/>
          <w:szCs w:val="24"/>
        </w:rPr>
        <w:t>节能标准。在确保建筑节能强制性标准执行质量和水平的基础上，开展超低能耗建筑、近零能耗建筑、零能耗建筑和零碳建筑等高能效建筑项目示范，促进新建建筑能效提升；强化建筑保温隔热性能，提升围护结构节能水平，推广安全、高效、经济的建筑外墙保温、屋面保温构造系统，推广低增量成本的高性能门窗，推广新风热回收的适宜技术；更新完善农村地区建筑节能设计标准、图集，鼓励节能、经济、适用技术在农村建筑中的应用；进一步落实民用建筑节能目标责任制和考核评价制度，加强建筑节能标准的执行质量监督，建立完善能效测评、评价标识等第三方机构监管制度，加强建筑节能相关材料、部品、产品的推广和应用管理。</w:t>
      </w:r>
    </w:p>
    <w:p w14:paraId="4E9512B8">
      <w:pPr>
        <w:pStyle w:val="4"/>
        <w:numPr>
          <w:ilvl w:val="2"/>
          <w:numId w:val="14"/>
        </w:numPr>
        <w:spacing w:before="0" w:beforeLines="0"/>
        <w:rPr>
          <w:rFonts w:ascii="楷体" w:hAnsi="楷体" w:eastAsia="楷体"/>
          <w:b w:val="0"/>
        </w:rPr>
      </w:pPr>
      <w:bookmarkStart w:id="53" w:name="_Toc91234872"/>
      <w:r>
        <w:rPr>
          <w:rFonts w:hint="eastAsia" w:ascii="楷体" w:hAnsi="楷体" w:eastAsia="楷体"/>
          <w:b w:val="0"/>
          <w:bCs/>
          <w:sz w:val="28"/>
          <w:szCs w:val="28"/>
        </w:rPr>
        <w:t>推进超低能耗建筑示范</w:t>
      </w:r>
      <w:bookmarkEnd w:id="53"/>
    </w:p>
    <w:p w14:paraId="2B967D93">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加强超低能耗建筑研究的战略规划和顶层设计，积极推进超低能耗、近零能耗、零能耗建筑</w:t>
      </w:r>
      <w:r>
        <w:rPr>
          <w:rFonts w:ascii="Times New Roman" w:hAnsi="Times New Roman" w:cs="Times New Roman"/>
          <w:sz w:val="24"/>
          <w:szCs w:val="24"/>
        </w:rPr>
        <w:t>“</w:t>
      </w:r>
      <w:r>
        <w:rPr>
          <w:rFonts w:hint="eastAsia" w:ascii="Times New Roman" w:hAnsi="Times New Roman" w:cs="Times New Roman"/>
          <w:sz w:val="24"/>
          <w:szCs w:val="24"/>
        </w:rPr>
        <w:t>三步走</w:t>
      </w:r>
      <w:r>
        <w:rPr>
          <w:rFonts w:ascii="Times New Roman" w:hAnsi="Times New Roman" w:cs="Times New Roman"/>
          <w:sz w:val="24"/>
          <w:szCs w:val="24"/>
        </w:rPr>
        <w:t>”</w:t>
      </w:r>
      <w:r>
        <w:rPr>
          <w:rFonts w:hint="eastAsia" w:ascii="Times New Roman" w:hAnsi="Times New Roman" w:cs="Times New Roman"/>
          <w:sz w:val="24"/>
          <w:szCs w:val="24"/>
        </w:rPr>
        <w:t>战略，基于实际运行效果，加快研究适用于严寒地区的超低能耗建筑技术体系。启动超低能耗建筑推广试点，根据国家标准《近零能耗建筑技术标准》（</w:t>
      </w:r>
      <w:r>
        <w:rPr>
          <w:rFonts w:ascii="Times New Roman" w:hAnsi="Times New Roman" w:cs="Times New Roman"/>
          <w:sz w:val="24"/>
          <w:szCs w:val="24"/>
        </w:rPr>
        <w:t>GB/T51350</w:t>
      </w:r>
      <w:r>
        <w:rPr>
          <w:rFonts w:hint="eastAsia" w:ascii="Times New Roman" w:hAnsi="Times New Roman" w:cs="Times New Roman"/>
          <w:sz w:val="24"/>
          <w:szCs w:val="24"/>
        </w:rPr>
        <w:t>），结合严寒地区气候特点，综合考虑各区（县）近期开发建设规模、超低能耗建筑发展基础，选择有条件的城区，充分利用建筑本体和周边的可再生能源资源，启动超低能耗建筑规模化示范项目，大型公共建筑、政府投资或以政府投资为主的公共建筑，应优先开展超低能耗建筑试点示范；加快编制实施沈阳市《超低能耗居住建筑节能设计标准》，积极发展低能耗居住建筑。研究不同类型建筑物迈向零能耗、产能建筑的科技统筹机制，引导超低能耗、零能耗建筑相关产业发展。支持优势企业进一步加强超低能耗建筑门窗的创新和自主研发，整体提升设备部品质量水平，打造高能效标准的低能耗建筑部品部件生产示范基地。</w:t>
      </w:r>
    </w:p>
    <w:p w14:paraId="0E48A4E3">
      <w:pPr>
        <w:pStyle w:val="4"/>
        <w:numPr>
          <w:ilvl w:val="2"/>
          <w:numId w:val="14"/>
        </w:numPr>
        <w:spacing w:before="0" w:beforeLines="0"/>
        <w:rPr>
          <w:rFonts w:ascii="楷体" w:hAnsi="楷体" w:eastAsia="楷体"/>
          <w:b w:val="0"/>
        </w:rPr>
      </w:pPr>
      <w:bookmarkStart w:id="54" w:name="_Toc91234873"/>
      <w:r>
        <w:rPr>
          <w:rFonts w:hint="eastAsia" w:ascii="楷体" w:hAnsi="楷体" w:eastAsia="楷体"/>
          <w:b w:val="0"/>
          <w:bCs/>
          <w:sz w:val="28"/>
          <w:szCs w:val="28"/>
        </w:rPr>
        <w:t>提高建筑智慧化运行管理</w:t>
      </w:r>
      <w:bookmarkEnd w:id="54"/>
    </w:p>
    <w:p w14:paraId="7DE84ECC">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加强智慧建筑技术应用，提高建筑运行管理水平。开展不同类型数据的共享机制研究，整合电力、水、供暖、燃气等建筑能耗相关统计数据，促进各类建筑用能数据共享，逐步实现建筑能耗总量和碳排放总量目标制定和过程监督管理。推动建筑数字智能技术的研究，充分利用大数据、物联网和人工智能技术，实现数据信息搜集、处理、传输、存储和数据库的现代化，建立城市智慧能源管理服务系统，深化大数据关联分析、融合利用，实现城市及建筑用能的智慧化管理。</w:t>
      </w:r>
    </w:p>
    <w:p w14:paraId="107043C9">
      <w:pPr>
        <w:pStyle w:val="4"/>
        <w:numPr>
          <w:ilvl w:val="2"/>
          <w:numId w:val="14"/>
        </w:numPr>
        <w:spacing w:before="0" w:beforeLines="0"/>
        <w:rPr>
          <w:rFonts w:ascii="楷体" w:hAnsi="楷体" w:eastAsia="楷体"/>
          <w:b w:val="0"/>
        </w:rPr>
      </w:pPr>
      <w:bookmarkStart w:id="55" w:name="_Toc91234874"/>
      <w:r>
        <w:rPr>
          <w:rFonts w:hint="eastAsia" w:ascii="楷体" w:hAnsi="楷体" w:eastAsia="楷体"/>
          <w:b w:val="0"/>
          <w:bCs/>
          <w:sz w:val="28"/>
          <w:szCs w:val="28"/>
        </w:rPr>
        <w:t>启动城乡建设领域</w:t>
      </w:r>
      <w:r>
        <w:rPr>
          <w:rFonts w:ascii="楷体" w:hAnsi="楷体" w:eastAsia="楷体"/>
          <w:b w:val="0"/>
          <w:bCs/>
          <w:sz w:val="28"/>
          <w:szCs w:val="28"/>
        </w:rPr>
        <w:t>“</w:t>
      </w:r>
      <w:r>
        <w:rPr>
          <w:rFonts w:hint="eastAsia" w:ascii="楷体" w:hAnsi="楷体" w:eastAsia="楷体"/>
          <w:b w:val="0"/>
          <w:bCs/>
          <w:sz w:val="28"/>
          <w:szCs w:val="28"/>
        </w:rPr>
        <w:t>碳达峰</w:t>
      </w:r>
      <w:r>
        <w:rPr>
          <w:rFonts w:ascii="楷体" w:hAnsi="楷体" w:eastAsia="楷体"/>
          <w:b w:val="0"/>
          <w:bCs/>
          <w:sz w:val="28"/>
          <w:szCs w:val="28"/>
        </w:rPr>
        <w:t>”</w:t>
      </w:r>
      <w:r>
        <w:rPr>
          <w:rFonts w:hint="eastAsia" w:ascii="楷体" w:hAnsi="楷体" w:eastAsia="楷体"/>
          <w:b w:val="0"/>
          <w:bCs/>
          <w:sz w:val="28"/>
          <w:szCs w:val="28"/>
        </w:rPr>
        <w:t>行动计划</w:t>
      </w:r>
      <w:bookmarkEnd w:id="55"/>
    </w:p>
    <w:p w14:paraId="4A0BE9DE">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结合沈阳市碳达峰、低碳发展领域相关五年规划、行动计划，开展建筑领域</w:t>
      </w:r>
      <w:r>
        <w:rPr>
          <w:rFonts w:ascii="Times New Roman" w:hAnsi="Times New Roman" w:cs="Times New Roman"/>
          <w:sz w:val="24"/>
          <w:szCs w:val="24"/>
        </w:rPr>
        <w:t>2030</w:t>
      </w:r>
      <w:r>
        <w:rPr>
          <w:rFonts w:hint="eastAsia" w:ascii="Times New Roman" w:hAnsi="Times New Roman" w:cs="Times New Roman"/>
          <w:sz w:val="24"/>
          <w:szCs w:val="24"/>
        </w:rPr>
        <w:t>年</w:t>
      </w:r>
      <w:r>
        <w:rPr>
          <w:rFonts w:ascii="Times New Roman" w:hAnsi="Times New Roman" w:cs="Times New Roman"/>
          <w:sz w:val="24"/>
          <w:szCs w:val="24"/>
        </w:rPr>
        <w:t>“</w:t>
      </w:r>
      <w:r>
        <w:rPr>
          <w:rFonts w:hint="eastAsia" w:ascii="Times New Roman" w:hAnsi="Times New Roman" w:cs="Times New Roman"/>
          <w:sz w:val="24"/>
          <w:szCs w:val="24"/>
        </w:rPr>
        <w:t>碳达峰</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2060</w:t>
      </w:r>
      <w:r>
        <w:rPr>
          <w:rFonts w:hint="eastAsia" w:ascii="Times New Roman" w:hAnsi="Times New Roman" w:cs="Times New Roman"/>
          <w:sz w:val="24"/>
          <w:szCs w:val="24"/>
        </w:rPr>
        <w:t>年</w:t>
      </w:r>
      <w:r>
        <w:rPr>
          <w:rFonts w:ascii="Times New Roman" w:hAnsi="Times New Roman" w:cs="Times New Roman"/>
          <w:sz w:val="24"/>
          <w:szCs w:val="24"/>
        </w:rPr>
        <w:t>“</w:t>
      </w:r>
      <w:r>
        <w:rPr>
          <w:rFonts w:hint="eastAsia" w:ascii="Times New Roman" w:hAnsi="Times New Roman" w:cs="Times New Roman"/>
          <w:sz w:val="24"/>
          <w:szCs w:val="24"/>
        </w:rPr>
        <w:t>碳中和</w:t>
      </w:r>
      <w:r>
        <w:rPr>
          <w:rFonts w:ascii="Times New Roman" w:hAnsi="Times New Roman" w:cs="Times New Roman"/>
          <w:sz w:val="24"/>
          <w:szCs w:val="24"/>
        </w:rPr>
        <w:t>”</w:t>
      </w:r>
      <w:r>
        <w:rPr>
          <w:rFonts w:hint="eastAsia" w:ascii="Times New Roman" w:hAnsi="Times New Roman" w:cs="Times New Roman"/>
          <w:sz w:val="24"/>
          <w:szCs w:val="24"/>
        </w:rPr>
        <w:t>行动计划研究，加快编制沈阳市城乡建设领域碳达峰行动方案。以</w:t>
      </w:r>
      <w:r>
        <w:rPr>
          <w:rFonts w:ascii="Times New Roman" w:hAnsi="Times New Roman" w:cs="Times New Roman"/>
          <w:sz w:val="24"/>
          <w:szCs w:val="24"/>
        </w:rPr>
        <w:t>“</w:t>
      </w:r>
      <w:r>
        <w:rPr>
          <w:rFonts w:hint="eastAsia" w:ascii="Times New Roman" w:hAnsi="Times New Roman" w:cs="Times New Roman"/>
          <w:sz w:val="24"/>
          <w:szCs w:val="24"/>
        </w:rPr>
        <w:t>碳达峰</w:t>
      </w:r>
      <w:r>
        <w:rPr>
          <w:rFonts w:ascii="Times New Roman" w:hAnsi="Times New Roman" w:cs="Times New Roman"/>
          <w:sz w:val="24"/>
          <w:szCs w:val="24"/>
        </w:rPr>
        <w:t>”</w:t>
      </w:r>
      <w:r>
        <w:rPr>
          <w:rFonts w:hint="eastAsia" w:ascii="Times New Roman" w:hAnsi="Times New Roman" w:cs="Times New Roman"/>
          <w:sz w:val="24"/>
          <w:szCs w:val="24"/>
        </w:rPr>
        <w:t>与</w:t>
      </w:r>
      <w:r>
        <w:rPr>
          <w:rFonts w:ascii="Times New Roman" w:hAnsi="Times New Roman" w:cs="Times New Roman"/>
          <w:sz w:val="24"/>
          <w:szCs w:val="24"/>
        </w:rPr>
        <w:t>“</w:t>
      </w:r>
      <w:r>
        <w:rPr>
          <w:rFonts w:hint="eastAsia" w:ascii="Times New Roman" w:hAnsi="Times New Roman" w:cs="Times New Roman"/>
          <w:sz w:val="24"/>
          <w:szCs w:val="24"/>
        </w:rPr>
        <w:t>碳中和</w:t>
      </w:r>
      <w:r>
        <w:rPr>
          <w:rFonts w:ascii="Times New Roman" w:hAnsi="Times New Roman" w:cs="Times New Roman"/>
          <w:sz w:val="24"/>
          <w:szCs w:val="24"/>
        </w:rPr>
        <w:t>”</w:t>
      </w:r>
      <w:r>
        <w:rPr>
          <w:rFonts w:hint="eastAsia" w:ascii="Times New Roman" w:hAnsi="Times New Roman" w:cs="Times New Roman"/>
          <w:sz w:val="24"/>
          <w:szCs w:val="24"/>
        </w:rPr>
        <w:t>为导向，开展贯穿建筑全寿命期的低碳路线研究，逐步形成涵盖不同行业、不同类别建筑，从设计、施工、验收到运营管理全寿命期的低碳建筑发展路径。探索建筑领域低碳发展制度创新、技术创新与工程创新模式，积极推动建筑低碳技术创新，加快培育建设工程研究中心、技术创新中心、科技资源共享服务平台等创新基地平台，开展低碳社区、园区等区域试点，逐步形成建筑领域高质量、低排放的现代化技术与经济体系。</w:t>
      </w:r>
    </w:p>
    <w:p w14:paraId="17F5975B">
      <w:pPr>
        <w:pStyle w:val="44"/>
        <w:spacing w:line="360" w:lineRule="auto"/>
        <w:ind w:firstLine="0" w:firstLineChars="0"/>
        <w:jc w:val="center"/>
        <w:rPr>
          <w:rFonts w:ascii="Times New Roman" w:hAnsi="Times New Roman" w:cs="Times New Roman"/>
          <w:b/>
          <w:bCs/>
          <w:sz w:val="21"/>
          <w:szCs w:val="21"/>
        </w:rPr>
      </w:pPr>
      <w:r>
        <w:rPr>
          <w:rFonts w:hint="eastAsia" w:ascii="Times New Roman" w:hAnsi="Times New Roman" w:cs="Times New Roman"/>
          <w:b/>
          <w:bCs/>
          <w:sz w:val="21"/>
          <w:szCs w:val="21"/>
        </w:rPr>
        <w:t>专栏</w:t>
      </w:r>
      <w:r>
        <w:rPr>
          <w:rFonts w:ascii="Times New Roman" w:hAnsi="Times New Roman" w:cs="Times New Roman"/>
          <w:b/>
          <w:bCs/>
          <w:sz w:val="21"/>
          <w:szCs w:val="21"/>
        </w:rPr>
        <w:t xml:space="preserve">2  </w:t>
      </w:r>
      <w:r>
        <w:rPr>
          <w:rFonts w:hint="eastAsia" w:ascii="Times New Roman" w:hAnsi="Times New Roman" w:cs="Times New Roman"/>
          <w:b/>
          <w:bCs/>
          <w:sz w:val="21"/>
          <w:szCs w:val="21"/>
        </w:rPr>
        <w:t>建筑能效提升与低碳发展重点任务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6B7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5E468A5">
            <w:pPr>
              <w:snapToGrid w:val="0"/>
              <w:spacing w:line="360" w:lineRule="auto"/>
              <w:ind w:firstLine="422"/>
              <w:rPr>
                <w:rFonts w:ascii="Times New Roman" w:hAnsi="Times New Roman"/>
                <w:sz w:val="21"/>
                <w:szCs w:val="21"/>
              </w:rPr>
            </w:pPr>
            <w:r>
              <w:rPr>
                <w:rFonts w:hint="eastAsia" w:ascii="Times New Roman" w:hAnsi="Times New Roman"/>
                <w:b/>
                <w:bCs/>
                <w:sz w:val="21"/>
                <w:szCs w:val="21"/>
              </w:rPr>
              <w:t>新建民用建筑节能标准提升。</w:t>
            </w:r>
            <w:r>
              <w:rPr>
                <w:rFonts w:hint="eastAsia" w:ascii="Times New Roman" w:hAnsi="Times New Roman"/>
                <w:sz w:val="21"/>
                <w:szCs w:val="21"/>
              </w:rPr>
              <w:t>城镇新建居住建筑全面执行</w:t>
            </w:r>
            <w:r>
              <w:rPr>
                <w:rFonts w:ascii="Times New Roman" w:hAnsi="Times New Roman"/>
                <w:sz w:val="21"/>
                <w:szCs w:val="21"/>
              </w:rPr>
              <w:t>75%</w:t>
            </w:r>
            <w:r>
              <w:rPr>
                <w:rFonts w:hint="eastAsia" w:ascii="Times New Roman" w:hAnsi="Times New Roman"/>
                <w:sz w:val="21"/>
                <w:szCs w:val="21"/>
              </w:rPr>
              <w:t>建筑节能标准，新建公共建筑全面执行</w:t>
            </w:r>
            <w:r>
              <w:rPr>
                <w:rFonts w:ascii="Times New Roman" w:hAnsi="Times New Roman"/>
                <w:sz w:val="21"/>
                <w:szCs w:val="21"/>
              </w:rPr>
              <w:t>72%</w:t>
            </w:r>
            <w:r>
              <w:rPr>
                <w:rFonts w:hint="eastAsia" w:ascii="Times New Roman" w:hAnsi="Times New Roman"/>
                <w:sz w:val="21"/>
                <w:szCs w:val="21"/>
              </w:rPr>
              <w:t>建筑节能标准，进一步推动新建民用建筑执行超低能耗建筑标准。</w:t>
            </w:r>
          </w:p>
        </w:tc>
      </w:tr>
      <w:tr w14:paraId="1533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F57B833">
            <w:pPr>
              <w:pStyle w:val="44"/>
              <w:snapToGrid w:val="0"/>
              <w:spacing w:line="360" w:lineRule="auto"/>
              <w:ind w:firstLine="422"/>
              <w:rPr>
                <w:rFonts w:ascii="Times New Roman" w:hAnsi="Times New Roman" w:cs="Times New Roman"/>
                <w:sz w:val="21"/>
                <w:szCs w:val="21"/>
              </w:rPr>
            </w:pPr>
            <w:r>
              <w:rPr>
                <w:rFonts w:hint="eastAsia" w:ascii="Times New Roman" w:hAnsi="Times New Roman" w:cs="Times New Roman"/>
                <w:b/>
                <w:bCs/>
                <w:sz w:val="21"/>
                <w:szCs w:val="21"/>
              </w:rPr>
              <w:t>超低能耗建筑推广示范。</w:t>
            </w:r>
            <w:r>
              <w:rPr>
                <w:rFonts w:hint="eastAsia" w:ascii="Times New Roman" w:hAnsi="Times New Roman" w:cs="Times New Roman"/>
                <w:sz w:val="21"/>
                <w:szCs w:val="21"/>
              </w:rPr>
              <w:t>结合城市新区建设及中日产业园、中韩科技园等产业园区建设，积极开展超低能耗建筑、近零能耗建筑、零能耗建筑示范，示范应涵盖城镇住宅、公共建筑等不同类型。加快编制实施沈阳市超低能耗建筑标准，通过示范项目总结符合沈阳市实际的超低能耗建筑设计及施工技术体系、材料及产品支撑体系、政策扶持体系，到</w:t>
            </w:r>
            <w:r>
              <w:rPr>
                <w:rFonts w:ascii="Times New Roman" w:hAnsi="Times New Roman" w:cs="Times New Roman"/>
                <w:sz w:val="21"/>
                <w:szCs w:val="21"/>
              </w:rPr>
              <w:t>2025</w:t>
            </w:r>
            <w:r>
              <w:rPr>
                <w:rFonts w:hint="eastAsia" w:ascii="Times New Roman" w:hAnsi="Times New Roman" w:cs="Times New Roman"/>
                <w:sz w:val="21"/>
                <w:szCs w:val="21"/>
              </w:rPr>
              <w:t>年，完成超低能耗建筑</w:t>
            </w:r>
            <w:r>
              <w:rPr>
                <w:rFonts w:ascii="Times New Roman" w:hAnsi="Times New Roman" w:cs="Times New Roman"/>
                <w:sz w:val="21"/>
                <w:szCs w:val="21"/>
              </w:rPr>
              <w:t>50</w:t>
            </w:r>
            <w:r>
              <w:rPr>
                <w:rFonts w:hint="eastAsia" w:ascii="Times New Roman" w:hAnsi="Times New Roman" w:cs="Times New Roman"/>
                <w:sz w:val="21"/>
                <w:szCs w:val="21"/>
              </w:rPr>
              <w:t>万平方米。</w:t>
            </w:r>
          </w:p>
        </w:tc>
      </w:tr>
    </w:tbl>
    <w:p w14:paraId="6F76DD9D">
      <w:pPr>
        <w:pStyle w:val="44"/>
        <w:ind w:firstLine="480"/>
        <w:rPr>
          <w:rFonts w:ascii="Times New Roman" w:hAnsi="Times New Roman" w:cs="Times New Roman"/>
          <w:sz w:val="24"/>
          <w:szCs w:val="24"/>
        </w:rPr>
      </w:pPr>
    </w:p>
    <w:p w14:paraId="7997CD6F">
      <w:pPr>
        <w:pStyle w:val="3"/>
        <w:ind w:left="0" w:firstLine="482"/>
        <w:rPr>
          <w:rFonts w:ascii="黑体" w:hAnsi="黑体" w:eastAsia="黑体"/>
        </w:rPr>
      </w:pPr>
      <w:bookmarkStart w:id="56" w:name="_Toc91234875"/>
      <w:r>
        <w:rPr>
          <w:rFonts w:hint="eastAsia" w:ascii="黑体" w:hAnsi="黑体" w:eastAsia="黑体"/>
        </w:rPr>
        <w:t>改善既有建筑节能绿色水平</w:t>
      </w:r>
      <w:bookmarkEnd w:id="56"/>
    </w:p>
    <w:p w14:paraId="0438DA4A">
      <w:pPr>
        <w:pStyle w:val="4"/>
        <w:numPr>
          <w:ilvl w:val="2"/>
          <w:numId w:val="15"/>
        </w:numPr>
        <w:spacing w:before="0" w:beforeLines="0"/>
        <w:rPr>
          <w:rFonts w:ascii="楷体" w:hAnsi="楷体" w:eastAsia="楷体"/>
          <w:b w:val="0"/>
        </w:rPr>
      </w:pPr>
      <w:bookmarkStart w:id="57" w:name="_Toc91234876"/>
      <w:r>
        <w:rPr>
          <w:rFonts w:hint="eastAsia" w:ascii="楷体" w:hAnsi="楷体" w:eastAsia="楷体"/>
          <w:b w:val="0"/>
          <w:bCs/>
          <w:sz w:val="28"/>
          <w:szCs w:val="28"/>
        </w:rPr>
        <w:t>强化公共建筑节能管理</w:t>
      </w:r>
      <w:bookmarkEnd w:id="57"/>
    </w:p>
    <w:p w14:paraId="1985A706">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积极开展公共建筑能效提升重点城市建设方案编制工作，树立地区公共建筑能效提升引领标杆。建立健全公共建筑节能监管体系，统筹推进公共建筑能耗监测、能耗统计、能源审计工作，逐步完善公共建筑能耗信息公示机制。发挥数据对用能限额标准制定、电力需求侧管理等方面的支撑作用，逐步推进大型公共建筑能耗（电耗、热耗）限额管理。推进公共建筑节能绿色化改造，推广合同能源管理、合同节水管理、政府和社会资本合作等市场化改造模式。推动建立公共建筑运行调适制度。积极开展绿色医院、绿色校园试点示范。</w:t>
      </w:r>
    </w:p>
    <w:p w14:paraId="2B5A26E1">
      <w:pPr>
        <w:pStyle w:val="4"/>
        <w:numPr>
          <w:ilvl w:val="2"/>
          <w:numId w:val="15"/>
        </w:numPr>
        <w:spacing w:before="0" w:beforeLines="0"/>
        <w:rPr>
          <w:rFonts w:ascii="楷体" w:hAnsi="楷体" w:eastAsia="楷体"/>
          <w:b w:val="0"/>
        </w:rPr>
      </w:pPr>
      <w:bookmarkStart w:id="58" w:name="_Toc91234877"/>
      <w:r>
        <w:rPr>
          <w:rFonts w:hint="eastAsia" w:ascii="楷体" w:hAnsi="楷体" w:eastAsia="楷体"/>
          <w:b w:val="0"/>
          <w:bCs/>
          <w:sz w:val="28"/>
          <w:szCs w:val="28"/>
        </w:rPr>
        <w:t>提升既有居住建筑绿色化水平</w:t>
      </w:r>
      <w:bookmarkEnd w:id="58"/>
    </w:p>
    <w:p w14:paraId="259CCE56">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结合老旧小区、棚户区、城中村改造，实施既有建筑节能改造，在</w:t>
      </w:r>
      <w:r>
        <w:rPr>
          <w:rFonts w:ascii="Times New Roman" w:hAnsi="Times New Roman" w:cs="Times New Roman"/>
          <w:sz w:val="24"/>
          <w:szCs w:val="24"/>
        </w:rPr>
        <w:t>2025</w:t>
      </w:r>
      <w:r>
        <w:rPr>
          <w:rFonts w:hint="eastAsia" w:ascii="Times New Roman" w:hAnsi="Times New Roman" w:cs="Times New Roman"/>
          <w:sz w:val="24"/>
          <w:szCs w:val="24"/>
        </w:rPr>
        <w:t>年前完成全市</w:t>
      </w:r>
      <w:r>
        <w:rPr>
          <w:rFonts w:ascii="Times New Roman" w:hAnsi="Times New Roman" w:cs="Times New Roman"/>
          <w:sz w:val="24"/>
          <w:szCs w:val="24"/>
        </w:rPr>
        <w:t>1723</w:t>
      </w:r>
      <w:r>
        <w:rPr>
          <w:rFonts w:hint="eastAsia" w:ascii="Times New Roman" w:hAnsi="Times New Roman" w:cs="Times New Roman"/>
          <w:sz w:val="24"/>
          <w:szCs w:val="24"/>
        </w:rPr>
        <w:t>个老旧小区改造工程。按照北方地区清洁取暖要求，继续推进既有居住建筑节能改造、供热管网智能调控改造，改造过程中屋面节能改造与屋面防水修缮同步进行、外墙节能改造与立面改造同步进行，引导居民更换节能型外窗，着力改善和提升既有建筑综合宜居水平。加快推进既有建筑绿色化改造，鼓励与老旧小区改造同步实施，开展既有建筑绿色化改造试点示范。</w:t>
      </w:r>
    </w:p>
    <w:p w14:paraId="33231CE8">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对沈阳市建成区范围内既有建筑存量及能耗调查，对既有建筑类型、建造年代、用能现状进行摸底排查，制定既有建筑绿色改造重点内容与项目清单，制定激励政策，分年度推进实施既有建筑按照绿色建筑标准实施改造。创新既有建筑改造投融资机制，研究探索绿色金融、合同能源管理、公共设施租赁等多元化融资模式，推动既有居住建筑绿色化改造市场化机制的形成。</w:t>
      </w:r>
    </w:p>
    <w:p w14:paraId="1F8250B6">
      <w:pPr>
        <w:pStyle w:val="4"/>
        <w:numPr>
          <w:ilvl w:val="2"/>
          <w:numId w:val="15"/>
        </w:numPr>
        <w:spacing w:before="0" w:beforeLines="0"/>
        <w:rPr>
          <w:rFonts w:ascii="楷体" w:hAnsi="楷体" w:eastAsia="楷体"/>
          <w:b w:val="0"/>
        </w:rPr>
      </w:pPr>
      <w:bookmarkStart w:id="59" w:name="_Toc91234878"/>
      <w:r>
        <w:rPr>
          <w:rFonts w:hint="eastAsia" w:ascii="楷体" w:hAnsi="楷体" w:eastAsia="楷体"/>
          <w:b w:val="0"/>
          <w:bCs/>
          <w:sz w:val="28"/>
          <w:szCs w:val="28"/>
        </w:rPr>
        <w:t>推动城市绿色更新</w:t>
      </w:r>
      <w:bookmarkEnd w:id="59"/>
    </w:p>
    <w:p w14:paraId="7375BAAC">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探索绿色建筑由单体向区域、城市建设绿色发展转变模式，构建区域绿色低碳发展标准体系、技术体系，引导沈阳市城市区域空间绿色化发展。依托盛京皇城片区等城市更新重点片区，探索城市绿色更新模式，实施城市绿色更新试点，充分运用</w:t>
      </w:r>
      <w:r>
        <w:rPr>
          <w:rFonts w:ascii="Times New Roman" w:hAnsi="Times New Roman" w:cs="Times New Roman"/>
          <w:sz w:val="24"/>
          <w:szCs w:val="24"/>
        </w:rPr>
        <w:t>BIM</w:t>
      </w:r>
      <w:r>
        <w:rPr>
          <w:rFonts w:hint="eastAsia" w:ascii="Times New Roman" w:hAnsi="Times New Roman" w:cs="Times New Roman"/>
          <w:sz w:val="24"/>
          <w:szCs w:val="24"/>
        </w:rPr>
        <w:t>、</w:t>
      </w:r>
      <w:r>
        <w:rPr>
          <w:rFonts w:ascii="Times New Roman" w:hAnsi="Times New Roman" w:cs="Times New Roman"/>
          <w:sz w:val="24"/>
          <w:szCs w:val="24"/>
        </w:rPr>
        <w:t>CIM</w:t>
      </w:r>
      <w:r>
        <w:rPr>
          <w:rFonts w:hint="eastAsia" w:ascii="Times New Roman" w:hAnsi="Times New Roman" w:cs="Times New Roman"/>
          <w:sz w:val="24"/>
          <w:szCs w:val="24"/>
        </w:rPr>
        <w:t>、能源互联网、大数据、物联网、云计算等信息技术开展现状评估和生态诊断，对建筑绿色化改造规模提出更高目标要求。会同有关部门，统筹规划区域绿色基础设施建设，探索从单体建筑向区域空间内土地利用、生态环境、产业、交通、人文等方面全面绿色可持续建设模式，优化区域绿色运营能力，引导城市基础设施体系化建设和绿色建筑规模化发展。</w:t>
      </w:r>
    </w:p>
    <w:p w14:paraId="47419CA4">
      <w:pPr>
        <w:pStyle w:val="4"/>
        <w:numPr>
          <w:ilvl w:val="2"/>
          <w:numId w:val="15"/>
        </w:numPr>
        <w:spacing w:before="0" w:beforeLines="0"/>
        <w:rPr>
          <w:rFonts w:ascii="楷体" w:hAnsi="楷体" w:eastAsia="楷体"/>
          <w:b w:val="0"/>
        </w:rPr>
      </w:pPr>
      <w:bookmarkStart w:id="60" w:name="_Toc91234879"/>
      <w:r>
        <w:rPr>
          <w:rFonts w:hint="eastAsia" w:ascii="楷体" w:hAnsi="楷体" w:eastAsia="楷体"/>
          <w:b w:val="0"/>
          <w:bCs/>
          <w:sz w:val="28"/>
          <w:szCs w:val="28"/>
        </w:rPr>
        <w:t>推动乡村农房和设施节能</w:t>
      </w:r>
      <w:bookmarkEnd w:id="60"/>
    </w:p>
    <w:p w14:paraId="0B4B9DA1">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推动农村绿色农房建设，完善户内水、电、气、厕配套设施，引导危房改造同步实施节能改造。以农村公共建筑和设施为主开展节能绿色化改造试点，研究出台农村公共建筑和设施节能改造的财政支持和激励政策，制定传统村落改造技术导则，推动绿色化改造，提升农村建筑绿色化水平。</w:t>
      </w:r>
    </w:p>
    <w:p w14:paraId="4235A70E">
      <w:pPr>
        <w:pStyle w:val="44"/>
        <w:spacing w:line="360" w:lineRule="auto"/>
        <w:ind w:firstLine="0" w:firstLineChars="0"/>
        <w:jc w:val="center"/>
        <w:rPr>
          <w:rFonts w:ascii="Times New Roman" w:hAnsi="Times New Roman" w:cs="Times New Roman"/>
          <w:b/>
          <w:bCs/>
          <w:sz w:val="21"/>
          <w:szCs w:val="21"/>
        </w:rPr>
      </w:pPr>
      <w:r>
        <w:rPr>
          <w:rFonts w:hint="eastAsia" w:ascii="Times New Roman" w:hAnsi="Times New Roman" w:cs="Times New Roman"/>
          <w:b/>
          <w:bCs/>
          <w:sz w:val="21"/>
          <w:szCs w:val="21"/>
        </w:rPr>
        <w:t>专栏</w:t>
      </w:r>
      <w:r>
        <w:rPr>
          <w:rFonts w:ascii="Times New Roman" w:hAnsi="Times New Roman" w:cs="Times New Roman"/>
          <w:b/>
          <w:bCs/>
          <w:sz w:val="21"/>
          <w:szCs w:val="21"/>
        </w:rPr>
        <w:t xml:space="preserve">3  </w:t>
      </w:r>
      <w:r>
        <w:rPr>
          <w:rFonts w:hint="eastAsia" w:ascii="Times New Roman" w:hAnsi="Times New Roman" w:cs="Times New Roman"/>
          <w:b/>
          <w:bCs/>
          <w:sz w:val="21"/>
          <w:szCs w:val="21"/>
        </w:rPr>
        <w:t>沈阳市既有建筑节能与绿色改造重点任务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E45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E1B620C">
            <w:pPr>
              <w:pStyle w:val="44"/>
              <w:snapToGrid w:val="0"/>
              <w:spacing w:line="360" w:lineRule="auto"/>
              <w:ind w:firstLine="422"/>
              <w:rPr>
                <w:rFonts w:ascii="Times New Roman" w:hAnsi="Times New Roman" w:cs="Times New Roman"/>
                <w:sz w:val="21"/>
                <w:szCs w:val="21"/>
              </w:rPr>
            </w:pPr>
            <w:r>
              <w:rPr>
                <w:rFonts w:hint="eastAsia" w:ascii="Times New Roman" w:hAnsi="Times New Roman" w:cs="Times New Roman"/>
                <w:b/>
                <w:bCs/>
                <w:sz w:val="21"/>
                <w:szCs w:val="21"/>
              </w:rPr>
              <w:t>既有建筑节能改造。</w:t>
            </w:r>
            <w:r>
              <w:rPr>
                <w:rFonts w:hint="eastAsia" w:ascii="Times New Roman" w:hAnsi="Times New Roman" w:cs="Times New Roman"/>
                <w:sz w:val="21"/>
                <w:szCs w:val="21"/>
              </w:rPr>
              <w:t>落实清洁取暖相关要求，进一步推动建筑采暖清洁化；大力推动老旧小区综合改造提升，到</w:t>
            </w:r>
            <w:r>
              <w:rPr>
                <w:rFonts w:ascii="Times New Roman" w:hAnsi="Times New Roman" w:cs="Times New Roman"/>
                <w:sz w:val="21"/>
                <w:szCs w:val="21"/>
              </w:rPr>
              <w:t>2025</w:t>
            </w:r>
            <w:r>
              <w:rPr>
                <w:rFonts w:hint="eastAsia" w:ascii="Times New Roman" w:hAnsi="Times New Roman" w:cs="Times New Roman"/>
                <w:sz w:val="21"/>
                <w:szCs w:val="21"/>
              </w:rPr>
              <w:t>年末，基本完成对</w:t>
            </w:r>
            <w:r>
              <w:rPr>
                <w:rFonts w:ascii="Times New Roman" w:hAnsi="Times New Roman" w:cs="Times New Roman"/>
                <w:sz w:val="21"/>
                <w:szCs w:val="21"/>
              </w:rPr>
              <w:t>2000</w:t>
            </w:r>
            <w:r>
              <w:rPr>
                <w:rFonts w:hint="eastAsia" w:ascii="Times New Roman" w:hAnsi="Times New Roman" w:cs="Times New Roman"/>
                <w:sz w:val="21"/>
                <w:szCs w:val="21"/>
              </w:rPr>
              <w:t>年底前建成的城镇老旧小区综合改造。实施以增加外墙保温方式为主的节能改造工程，完成未实施外墙保温的非节能建筑改造</w:t>
            </w:r>
            <w:r>
              <w:rPr>
                <w:rFonts w:ascii="Times New Roman" w:hAnsi="Times New Roman" w:cs="Times New Roman"/>
                <w:sz w:val="21"/>
                <w:szCs w:val="21"/>
              </w:rPr>
              <w:t>2700</w:t>
            </w:r>
            <w:r>
              <w:rPr>
                <w:rFonts w:hint="eastAsia" w:ascii="Times New Roman" w:hAnsi="Times New Roman" w:cs="Times New Roman"/>
                <w:sz w:val="21"/>
                <w:szCs w:val="21"/>
              </w:rPr>
              <w:t>万平方米。对既有建筑进行评估并进行系统的绿色技术优化组合研究，建立基础理论模型，对各项措施的节能潜力及经济性等进行比较分析，确定建筑最优的绿色改造方案。开展既有建筑绿色改造示范区创建工作，到</w:t>
            </w:r>
            <w:r>
              <w:rPr>
                <w:rFonts w:ascii="Times New Roman" w:hAnsi="Times New Roman" w:cs="Times New Roman"/>
                <w:sz w:val="21"/>
                <w:szCs w:val="21"/>
              </w:rPr>
              <w:t>“</w:t>
            </w:r>
            <w:r>
              <w:rPr>
                <w:rFonts w:hint="eastAsia" w:ascii="Times New Roman" w:hAnsi="Times New Roman" w:cs="Times New Roman"/>
                <w:sz w:val="21"/>
                <w:szCs w:val="21"/>
              </w:rPr>
              <w:t>十四五</w:t>
            </w:r>
            <w:r>
              <w:rPr>
                <w:rFonts w:ascii="Times New Roman" w:hAnsi="Times New Roman" w:cs="Times New Roman"/>
                <w:sz w:val="21"/>
                <w:szCs w:val="21"/>
              </w:rPr>
              <w:t>”</w:t>
            </w:r>
            <w:r>
              <w:rPr>
                <w:rFonts w:hint="eastAsia" w:ascii="Times New Roman" w:hAnsi="Times New Roman" w:cs="Times New Roman"/>
                <w:sz w:val="21"/>
                <w:szCs w:val="21"/>
              </w:rPr>
              <w:t>期末创建示范区不少于</w:t>
            </w:r>
            <w:r>
              <w:rPr>
                <w:rFonts w:ascii="Times New Roman" w:hAnsi="Times New Roman" w:cs="Times New Roman"/>
                <w:sz w:val="21"/>
                <w:szCs w:val="21"/>
              </w:rPr>
              <w:t>15</w:t>
            </w:r>
            <w:r>
              <w:rPr>
                <w:rFonts w:hint="eastAsia" w:ascii="Times New Roman" w:hAnsi="Times New Roman" w:cs="Times New Roman"/>
                <w:sz w:val="21"/>
                <w:szCs w:val="21"/>
              </w:rPr>
              <w:t>个。</w:t>
            </w:r>
          </w:p>
        </w:tc>
      </w:tr>
      <w:tr w14:paraId="720E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5D9D1EB">
            <w:pPr>
              <w:pStyle w:val="44"/>
              <w:snapToGrid w:val="0"/>
              <w:spacing w:line="360" w:lineRule="auto"/>
              <w:ind w:firstLine="422"/>
              <w:rPr>
                <w:rFonts w:ascii="Times New Roman" w:hAnsi="Times New Roman" w:cs="Times New Roman"/>
                <w:b/>
                <w:bCs/>
                <w:sz w:val="21"/>
                <w:szCs w:val="21"/>
              </w:rPr>
            </w:pPr>
            <w:r>
              <w:rPr>
                <w:rFonts w:hint="eastAsia" w:ascii="Times New Roman" w:hAnsi="Times New Roman" w:cs="Times New Roman"/>
                <w:b/>
                <w:bCs/>
                <w:sz w:val="21"/>
                <w:szCs w:val="21"/>
              </w:rPr>
              <w:t>推动城市绿色更新。</w:t>
            </w:r>
            <w:r>
              <w:rPr>
                <w:rFonts w:hint="eastAsia" w:ascii="Times New Roman" w:hAnsi="Times New Roman" w:cs="Times New Roman"/>
                <w:sz w:val="21"/>
                <w:szCs w:val="21"/>
              </w:rPr>
              <w:t>深入推进盛京皇城片区、沈飞工业文化片区、一河两岸沿线片区、于洪区沙河子片区、和平区北六经片区、大东区德增片区等重点片区绿色更新工作，对重点发展片区内的新建、改（扩）建项目提出绿色建筑星级要求，有条件的区域应结合老旧小区改造工作全面开展建筑绿色化改造。</w:t>
            </w:r>
          </w:p>
        </w:tc>
      </w:tr>
    </w:tbl>
    <w:p w14:paraId="454ABAD4">
      <w:pPr>
        <w:pStyle w:val="44"/>
        <w:spacing w:line="360" w:lineRule="auto"/>
        <w:ind w:firstLine="420"/>
        <w:rPr>
          <w:rFonts w:ascii="Times New Roman" w:hAnsi="Times New Roman" w:cs="Times New Roman"/>
          <w:sz w:val="21"/>
          <w:szCs w:val="21"/>
        </w:rPr>
      </w:pPr>
    </w:p>
    <w:p w14:paraId="5A71B16E">
      <w:pPr>
        <w:pStyle w:val="3"/>
        <w:ind w:left="0" w:firstLine="482"/>
        <w:rPr>
          <w:rFonts w:ascii="黑体" w:hAnsi="黑体" w:eastAsia="黑体"/>
        </w:rPr>
      </w:pPr>
      <w:bookmarkStart w:id="61" w:name="_Toc91234880"/>
      <w:r>
        <w:rPr>
          <w:rFonts w:hint="eastAsia" w:ascii="黑体" w:hAnsi="黑体" w:eastAsia="黑体"/>
        </w:rPr>
        <w:t>推动绿色建筑高质量发展</w:t>
      </w:r>
      <w:bookmarkEnd w:id="61"/>
    </w:p>
    <w:p w14:paraId="05D680F5">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以打造国家级绿色城市为发展目标，深入推进绿色建筑高质量、规模化发展，在提升城镇新建绿色建筑比例的同时，完善绿色建筑监管与推广机制，着力提升绿色建筑的体验感与获得感。</w:t>
      </w:r>
    </w:p>
    <w:p w14:paraId="307E6809">
      <w:pPr>
        <w:pStyle w:val="4"/>
        <w:numPr>
          <w:ilvl w:val="2"/>
          <w:numId w:val="16"/>
        </w:numPr>
        <w:spacing w:before="0" w:beforeLines="0"/>
        <w:rPr>
          <w:rFonts w:ascii="楷体" w:hAnsi="楷体" w:eastAsia="楷体"/>
          <w:b w:val="0"/>
        </w:rPr>
      </w:pPr>
      <w:bookmarkStart w:id="62" w:name="_Toc91234881"/>
      <w:r>
        <w:rPr>
          <w:rFonts w:hint="eastAsia" w:ascii="楷体" w:hAnsi="楷体" w:eastAsia="楷体"/>
          <w:b w:val="0"/>
          <w:bCs/>
          <w:sz w:val="28"/>
          <w:szCs w:val="28"/>
        </w:rPr>
        <w:t>提升绿色建筑建设品质</w:t>
      </w:r>
      <w:bookmarkEnd w:id="62"/>
    </w:p>
    <w:p w14:paraId="08805109">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加快推动国家《绿色建筑评价标准》（</w:t>
      </w:r>
      <w:r>
        <w:rPr>
          <w:rFonts w:ascii="Times New Roman" w:hAnsi="Times New Roman" w:cs="Times New Roman"/>
          <w:sz w:val="24"/>
          <w:szCs w:val="24"/>
        </w:rPr>
        <w:t>GB/T50378</w:t>
      </w:r>
      <w:r>
        <w:rPr>
          <w:rFonts w:hint="eastAsia" w:ascii="Times New Roman" w:hAnsi="Times New Roman" w:cs="Times New Roman"/>
          <w:sz w:val="24"/>
          <w:szCs w:val="24"/>
        </w:rPr>
        <w:t>）的实施，结合民用建筑节能强制性规范标准提出的绿色建筑底线控制要求，强化控制性指标源头管理，在城镇新建民用建筑中全面普及绿色建筑基本级要求。加强绿色建筑规划、设计、施工和竣工验收等阶段的监督管理，积极会同有关部门，将绿色建筑标准相关要求纳入城市、镇总体规划和详细规划，加强绿色建筑施工图审查。持续扩大星级绿色建筑规模，有序推进城镇新建民用建筑按照一星级及以上绿色建筑设计标准建造，逐年提高新建民用建筑中二星级及以上绿色建筑占比，鼓励重点建筑类型、重点区域执行更高星级的绿色建筑要求。</w:t>
      </w:r>
    </w:p>
    <w:p w14:paraId="492A33A2">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结合</w:t>
      </w:r>
      <w:r>
        <w:rPr>
          <w:rFonts w:ascii="Times New Roman" w:hAnsi="Times New Roman" w:cs="Times New Roman"/>
          <w:sz w:val="24"/>
          <w:szCs w:val="24"/>
        </w:rPr>
        <w:t>“</w:t>
      </w:r>
      <w:r>
        <w:rPr>
          <w:rFonts w:hint="eastAsia" w:ascii="Times New Roman" w:hAnsi="Times New Roman" w:cs="Times New Roman"/>
          <w:sz w:val="24"/>
          <w:szCs w:val="24"/>
        </w:rPr>
        <w:t>健康沈阳</w:t>
      </w:r>
      <w:r>
        <w:rPr>
          <w:rFonts w:ascii="Times New Roman" w:hAnsi="Times New Roman" w:cs="Times New Roman"/>
          <w:sz w:val="24"/>
          <w:szCs w:val="24"/>
        </w:rPr>
        <w:t>”</w:t>
      </w:r>
      <w:r>
        <w:rPr>
          <w:rFonts w:hint="eastAsia" w:ascii="Times New Roman" w:hAnsi="Times New Roman" w:cs="Times New Roman"/>
          <w:sz w:val="24"/>
          <w:szCs w:val="24"/>
        </w:rPr>
        <w:t>建设和疫情防控工作，强化住宅健康性能设计要求，开展绿色健康住宅试点示范，提高建筑室内空气品质、温湿度、水质、隔声、光线和适老等健康和安全性能指标要求，提升居住者身体、视觉和心理舒适性。推动居住建筑新型墙体保温系统、新风系统、直饮水系统、绿色照明等绿色健康技术应用。</w:t>
      </w:r>
    </w:p>
    <w:p w14:paraId="033BA228">
      <w:pPr>
        <w:pStyle w:val="4"/>
        <w:numPr>
          <w:ilvl w:val="2"/>
          <w:numId w:val="16"/>
        </w:numPr>
        <w:spacing w:before="0" w:beforeLines="0"/>
        <w:rPr>
          <w:rFonts w:ascii="楷体" w:hAnsi="楷体" w:eastAsia="楷体"/>
          <w:b w:val="0"/>
        </w:rPr>
      </w:pPr>
      <w:bookmarkStart w:id="63" w:name="_Toc91234882"/>
      <w:r>
        <w:rPr>
          <w:rFonts w:hint="eastAsia" w:ascii="楷体" w:hAnsi="楷体" w:eastAsia="楷体"/>
          <w:b w:val="0"/>
          <w:bCs/>
          <w:sz w:val="28"/>
          <w:szCs w:val="28"/>
        </w:rPr>
        <w:t>完善绿色建筑标识管理</w:t>
      </w:r>
      <w:bookmarkEnd w:id="63"/>
    </w:p>
    <w:p w14:paraId="19238475">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根据国家和辽宁省的绿色建筑评价标识管理要求，进一步完善沈阳市绿色建筑评价标识管理制度，规范绿色建筑标识管理流程，依托沈阳市智慧城市建设，搭建绿色建筑智能化运行管理平台，利用</w:t>
      </w:r>
      <w:r>
        <w:rPr>
          <w:rFonts w:ascii="Times New Roman" w:hAnsi="Times New Roman" w:cs="Times New Roman"/>
          <w:sz w:val="24"/>
          <w:szCs w:val="24"/>
        </w:rPr>
        <w:t>“</w:t>
      </w:r>
      <w:r>
        <w:rPr>
          <w:rFonts w:hint="eastAsia" w:ascii="Times New Roman" w:hAnsi="Times New Roman" w:cs="Times New Roman"/>
          <w:sz w:val="24"/>
          <w:szCs w:val="24"/>
        </w:rPr>
        <w:t>互联网</w:t>
      </w:r>
      <w:r>
        <w:rPr>
          <w:rFonts w:ascii="Times New Roman" w:hAnsi="Times New Roman" w:cs="Times New Roman"/>
          <w:sz w:val="24"/>
          <w:szCs w:val="24"/>
        </w:rPr>
        <w:t>+”</w:t>
      </w:r>
      <w:r>
        <w:rPr>
          <w:rFonts w:hint="eastAsia" w:ascii="Times New Roman" w:hAnsi="Times New Roman" w:cs="Times New Roman"/>
          <w:sz w:val="24"/>
          <w:szCs w:val="24"/>
        </w:rPr>
        <w:t>、大数据等现代信息技术，对取得评价标识的绿色建筑重点项目运行数据进行监测，及时公示披露建筑运营信息，加强绿色建筑评价标识项目的事中、事后监管。规范绿色建筑咨询服务机构管理，提高标识认定工作效率和水平。</w:t>
      </w:r>
    </w:p>
    <w:p w14:paraId="33EAF448">
      <w:pPr>
        <w:pStyle w:val="4"/>
        <w:numPr>
          <w:ilvl w:val="2"/>
          <w:numId w:val="16"/>
        </w:numPr>
        <w:spacing w:before="0" w:beforeLines="0"/>
        <w:rPr>
          <w:rFonts w:ascii="楷体" w:hAnsi="楷体" w:eastAsia="楷体"/>
          <w:b w:val="0"/>
        </w:rPr>
      </w:pPr>
      <w:bookmarkStart w:id="64" w:name="_Toc91234883"/>
      <w:r>
        <w:rPr>
          <w:rFonts w:hint="eastAsia" w:ascii="楷体" w:hAnsi="楷体" w:eastAsia="楷体"/>
          <w:b w:val="0"/>
          <w:bCs/>
          <w:sz w:val="28"/>
          <w:szCs w:val="28"/>
        </w:rPr>
        <w:t>提高绿色建筑运行管理效果</w:t>
      </w:r>
      <w:bookmarkEnd w:id="64"/>
    </w:p>
    <w:p w14:paraId="35AF98F0">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加强绿色建筑运行管理，推行绿色物业管理模式，建立节能、节水、室内外环境维护等管理制度，将绿色建筑日常运行要求纳入物业管理内容。鼓励建设单位、物业单位或第三方机构建立绿色建筑用户评价和反馈机制，通过用户调查、数据监测等方式开展绿色建筑运行效果评估，不断优化提升绿色建筑运营水平。</w:t>
      </w:r>
    </w:p>
    <w:p w14:paraId="71184598">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建立绿色住宅使用者监督机制，制定绿色住宅购房人验房指南，为购房人进行住宅绿色性能和全装修质量验收提供可遵循、可操作的方法依据，加强购房人技术指导，引导建设单位配合好购房人的验房工作。推进住宅绿色性能和全装修质量相关指标纳入商品房买卖合同、住宅质量保证书和住宅使用说明书。</w:t>
      </w:r>
    </w:p>
    <w:p w14:paraId="59412E60">
      <w:pPr>
        <w:pStyle w:val="4"/>
        <w:numPr>
          <w:ilvl w:val="2"/>
          <w:numId w:val="16"/>
        </w:numPr>
        <w:spacing w:before="0" w:beforeLines="0"/>
        <w:rPr>
          <w:rFonts w:ascii="楷体" w:hAnsi="楷体" w:eastAsia="楷体"/>
          <w:b w:val="0"/>
        </w:rPr>
      </w:pPr>
      <w:bookmarkStart w:id="65" w:name="_Toc91234884"/>
      <w:r>
        <w:rPr>
          <w:rFonts w:hint="eastAsia" w:ascii="楷体" w:hAnsi="楷体" w:eastAsia="楷体"/>
          <w:b w:val="0"/>
          <w:bCs/>
          <w:sz w:val="28"/>
          <w:szCs w:val="28"/>
        </w:rPr>
        <w:t>开展绿色生活创建行动</w:t>
      </w:r>
      <w:bookmarkEnd w:id="65"/>
    </w:p>
    <w:p w14:paraId="23B5B1BA">
      <w:pPr>
        <w:pStyle w:val="44"/>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广泛宣传推广简约适度、绿色低碳、文明健康的生活理念和生活方式，建立完善绿色生活的相关政策和管理制度，推动绿色消费，促进绿色发展。制定出台沈阳市绿色机关、绿色学校、绿色商场、绿色社区评价考核指标体系，逐步推进示范单位创建工作。以广大城市社区作为创建对象，建设完整居住社区，开展绿色社区创建，建立健全社区人居环境建设和整治制度；结合既有建筑绿色化改造工作，推进社区基础设施绿色化，推广采用节能照明、节水器具等绿色产品，营造社区宜居环境，提高社区信息化智能化水平，培育社区绿色文化；建立健全社区宣传教育制度，深入开展建筑节能、绿色建筑、低碳发展等为主题的绿色生活理念与知识普及，形成一批具有引领作用的绿色社区示范。</w:t>
      </w:r>
    </w:p>
    <w:p w14:paraId="45E8DB49">
      <w:pPr>
        <w:pStyle w:val="44"/>
        <w:snapToGrid w:val="0"/>
        <w:spacing w:line="400" w:lineRule="exact"/>
        <w:rPr>
          <w:rFonts w:ascii="Times New Roman" w:hAnsi="Times New Roman" w:cs="Times New Roman"/>
        </w:rPr>
      </w:pPr>
      <w:r>
        <w:rPr>
          <w:rFonts w:ascii="Times New Roman" w:hAnsi="Times New Roman" w:cs="Times New Roman"/>
        </w:rPr>
        <w:t xml:space="preserve">  </w:t>
      </w:r>
    </w:p>
    <w:p w14:paraId="512D765A">
      <w:pPr>
        <w:pStyle w:val="44"/>
        <w:keepNext/>
        <w:spacing w:line="360" w:lineRule="auto"/>
        <w:ind w:firstLine="0" w:firstLineChars="0"/>
        <w:jc w:val="center"/>
        <w:rPr>
          <w:rFonts w:ascii="Times New Roman" w:hAnsi="Times New Roman" w:cs="Times New Roman"/>
          <w:b/>
          <w:bCs/>
          <w:sz w:val="21"/>
          <w:szCs w:val="21"/>
        </w:rPr>
      </w:pPr>
      <w:r>
        <w:rPr>
          <w:rFonts w:hint="eastAsia" w:ascii="Times New Roman" w:hAnsi="Times New Roman" w:cs="Times New Roman"/>
          <w:b/>
          <w:bCs/>
          <w:sz w:val="21"/>
          <w:szCs w:val="21"/>
        </w:rPr>
        <w:t>专栏</w:t>
      </w:r>
      <w:r>
        <w:rPr>
          <w:rFonts w:ascii="Times New Roman" w:hAnsi="Times New Roman" w:cs="Times New Roman"/>
          <w:b/>
          <w:bCs/>
          <w:sz w:val="21"/>
          <w:szCs w:val="21"/>
        </w:rPr>
        <w:t xml:space="preserve">4  </w:t>
      </w:r>
      <w:r>
        <w:rPr>
          <w:rFonts w:hint="eastAsia" w:ascii="Times New Roman" w:hAnsi="Times New Roman" w:cs="Times New Roman"/>
          <w:b/>
          <w:bCs/>
          <w:sz w:val="21"/>
          <w:szCs w:val="21"/>
        </w:rPr>
        <w:t>沈阳市建筑高质量绿色化发展重点任务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5A7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87C6CB2">
            <w:pPr>
              <w:pStyle w:val="44"/>
              <w:snapToGrid w:val="0"/>
              <w:spacing w:line="360" w:lineRule="auto"/>
              <w:ind w:firstLine="422"/>
              <w:rPr>
                <w:rFonts w:ascii="Times New Roman" w:hAnsi="Times New Roman" w:cs="Times New Roman"/>
                <w:sz w:val="21"/>
                <w:szCs w:val="21"/>
              </w:rPr>
            </w:pPr>
            <w:r>
              <w:rPr>
                <w:rFonts w:hint="eastAsia" w:ascii="Times New Roman" w:hAnsi="Times New Roman" w:cs="Times New Roman"/>
                <w:b/>
                <w:bCs/>
                <w:sz w:val="21"/>
                <w:szCs w:val="21"/>
              </w:rPr>
              <w:t>绿色建筑创建行动。</w:t>
            </w:r>
            <w:r>
              <w:rPr>
                <w:rFonts w:hint="eastAsia" w:ascii="Times New Roman" w:hAnsi="Times New Roman" w:cs="Times New Roman"/>
                <w:sz w:val="21"/>
                <w:szCs w:val="21"/>
              </w:rPr>
              <w:t>深入推动绿色建筑规模化发展，</w:t>
            </w:r>
            <w:r>
              <w:rPr>
                <w:rFonts w:ascii="Times New Roman" w:hAnsi="Times New Roman" w:cs="Times New Roman"/>
                <w:sz w:val="21"/>
                <w:szCs w:val="21"/>
              </w:rPr>
              <w:t>“</w:t>
            </w:r>
            <w:r>
              <w:rPr>
                <w:rFonts w:hint="eastAsia" w:ascii="Times New Roman" w:hAnsi="Times New Roman" w:cs="Times New Roman"/>
                <w:sz w:val="21"/>
                <w:szCs w:val="21"/>
              </w:rPr>
              <w:t>十四五</w:t>
            </w:r>
            <w:r>
              <w:rPr>
                <w:rFonts w:ascii="Times New Roman" w:hAnsi="Times New Roman" w:cs="Times New Roman"/>
                <w:sz w:val="21"/>
                <w:szCs w:val="21"/>
              </w:rPr>
              <w:t>”</w:t>
            </w:r>
            <w:r>
              <w:rPr>
                <w:rFonts w:hint="eastAsia" w:ascii="Times New Roman" w:hAnsi="Times New Roman" w:cs="Times New Roman"/>
                <w:sz w:val="21"/>
                <w:szCs w:val="21"/>
              </w:rPr>
              <w:t>期间，沈阳市城镇新建民用建筑全部按照绿色基本级及以上标准设计建造，其中，星级绿色建筑占城镇新增绿色建筑比例达到</w:t>
            </w:r>
            <w:r>
              <w:rPr>
                <w:rFonts w:ascii="Times New Roman" w:hAnsi="Times New Roman" w:cs="Times New Roman"/>
                <w:sz w:val="21"/>
                <w:szCs w:val="21"/>
              </w:rPr>
              <w:t>30%</w:t>
            </w:r>
            <w:r>
              <w:rPr>
                <w:rFonts w:hint="eastAsia" w:ascii="Times New Roman" w:hAnsi="Times New Roman" w:cs="Times New Roman"/>
                <w:sz w:val="21"/>
                <w:szCs w:val="21"/>
              </w:rPr>
              <w:t>以上。开展沈阳市绿色建筑创建行动，创建绿色机关</w:t>
            </w:r>
            <w:r>
              <w:rPr>
                <w:rFonts w:ascii="Times New Roman" w:hAnsi="Times New Roman" w:cs="Times New Roman"/>
                <w:sz w:val="21"/>
                <w:szCs w:val="21"/>
              </w:rPr>
              <w:t>15</w:t>
            </w:r>
            <w:r>
              <w:rPr>
                <w:rFonts w:hint="eastAsia" w:ascii="Times New Roman" w:hAnsi="Times New Roman" w:cs="Times New Roman"/>
                <w:sz w:val="21"/>
                <w:szCs w:val="21"/>
              </w:rPr>
              <w:t>个、绿色学校</w:t>
            </w:r>
            <w:r>
              <w:rPr>
                <w:rFonts w:ascii="Times New Roman" w:hAnsi="Times New Roman" w:cs="Times New Roman"/>
                <w:sz w:val="21"/>
                <w:szCs w:val="21"/>
              </w:rPr>
              <w:t>15</w:t>
            </w:r>
            <w:r>
              <w:rPr>
                <w:rFonts w:hint="eastAsia" w:ascii="Times New Roman" w:hAnsi="Times New Roman" w:cs="Times New Roman"/>
                <w:sz w:val="21"/>
                <w:szCs w:val="21"/>
              </w:rPr>
              <w:t>个、绿色商场</w:t>
            </w:r>
            <w:r>
              <w:rPr>
                <w:rFonts w:ascii="Times New Roman" w:hAnsi="Times New Roman" w:cs="Times New Roman"/>
                <w:sz w:val="21"/>
                <w:szCs w:val="21"/>
              </w:rPr>
              <w:t>15</w:t>
            </w:r>
            <w:r>
              <w:rPr>
                <w:rFonts w:hint="eastAsia" w:ascii="Times New Roman" w:hAnsi="Times New Roman" w:cs="Times New Roman"/>
                <w:sz w:val="21"/>
                <w:szCs w:val="21"/>
              </w:rPr>
              <w:t>个、绿色社区</w:t>
            </w:r>
            <w:r>
              <w:rPr>
                <w:rFonts w:ascii="Times New Roman" w:hAnsi="Times New Roman" w:cs="Times New Roman"/>
                <w:sz w:val="21"/>
                <w:szCs w:val="21"/>
              </w:rPr>
              <w:t>15</w:t>
            </w:r>
            <w:r>
              <w:rPr>
                <w:rFonts w:hint="eastAsia" w:ascii="Times New Roman" w:hAnsi="Times New Roman" w:cs="Times New Roman"/>
                <w:sz w:val="21"/>
                <w:szCs w:val="21"/>
              </w:rPr>
              <w:t>个。开展以绿色建筑、绿色生活等为主题的宣传科普与实践活动，引导企业、市民参与绿色建筑创建，促进绿色建筑供给与消费，提升老百姓对绿色建筑的体验感与获得感。</w:t>
            </w:r>
          </w:p>
        </w:tc>
      </w:tr>
      <w:tr w14:paraId="15C9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349F363">
            <w:pPr>
              <w:pStyle w:val="44"/>
              <w:snapToGrid w:val="0"/>
              <w:spacing w:line="360" w:lineRule="auto"/>
              <w:ind w:firstLine="422"/>
              <w:rPr>
                <w:rFonts w:ascii="Times New Roman" w:hAnsi="Times New Roman" w:cs="Times New Roman"/>
                <w:b/>
                <w:bCs/>
                <w:sz w:val="21"/>
                <w:szCs w:val="21"/>
              </w:rPr>
            </w:pPr>
            <w:r>
              <w:rPr>
                <w:rFonts w:hint="eastAsia" w:ascii="Times New Roman" w:hAnsi="Times New Roman" w:cs="Times New Roman"/>
                <w:b/>
                <w:bCs/>
                <w:sz w:val="21"/>
                <w:szCs w:val="21"/>
              </w:rPr>
              <w:t>提升绿色建筑建设品质。</w:t>
            </w:r>
            <w:r>
              <w:rPr>
                <w:rFonts w:hint="eastAsia" w:ascii="Times New Roman" w:hAnsi="Times New Roman" w:cs="Times New Roman"/>
                <w:sz w:val="21"/>
                <w:szCs w:val="21"/>
              </w:rPr>
              <w:t>推动以公共机构和大型公共建筑为主的高星级绿色建筑建设示范应用，国家机关办公建筑、政府投资或者以政府投资为主的办公、科研、文化、教育、医疗等公益性公共建筑执行二星级及以上绿色建筑要求，办公、体育、商业、酒店、交通运输类大型公共建筑全面执行一星级及以上绿色建筑要求。鼓励其他公共建筑、居住建筑按照高星级绿色建筑要求建设。在二、三环之间城区等生态宜居重点建设区域，提高高星级绿色建筑建设比例。</w:t>
            </w:r>
          </w:p>
        </w:tc>
      </w:tr>
    </w:tbl>
    <w:p w14:paraId="768ACF89">
      <w:pPr>
        <w:pStyle w:val="58"/>
        <w:rPr>
          <w:rFonts w:ascii="Times New Roman" w:hAnsi="Times New Roman" w:cs="Times New Roman"/>
        </w:rPr>
      </w:pPr>
    </w:p>
    <w:p w14:paraId="5D8EF71F">
      <w:pPr>
        <w:pStyle w:val="3"/>
        <w:ind w:left="0" w:firstLine="482"/>
        <w:rPr>
          <w:rFonts w:ascii="Times New Roman" w:hAnsi="Times New Roman"/>
        </w:rPr>
      </w:pPr>
      <w:bookmarkStart w:id="66" w:name="_Toc91234885"/>
      <w:r>
        <w:rPr>
          <w:rFonts w:hint="eastAsia" w:ascii="黑体" w:hAnsi="黑体" w:eastAsia="黑体"/>
        </w:rPr>
        <w:t>推动建筑用能系统清洁化与低碳化</w:t>
      </w:r>
      <w:bookmarkEnd w:id="66"/>
    </w:p>
    <w:p w14:paraId="0519F24D">
      <w:pPr>
        <w:pStyle w:val="4"/>
        <w:numPr>
          <w:ilvl w:val="2"/>
          <w:numId w:val="17"/>
        </w:numPr>
        <w:spacing w:before="0" w:beforeLines="0"/>
        <w:rPr>
          <w:rFonts w:ascii="楷体" w:hAnsi="楷体" w:eastAsia="楷体"/>
          <w:b w:val="0"/>
        </w:rPr>
      </w:pPr>
      <w:bookmarkStart w:id="67" w:name="_Toc91234886"/>
      <w:r>
        <w:rPr>
          <w:rFonts w:hint="eastAsia" w:ascii="楷体" w:hAnsi="楷体" w:eastAsia="楷体"/>
          <w:b w:val="0"/>
          <w:bCs/>
          <w:sz w:val="28"/>
          <w:szCs w:val="28"/>
        </w:rPr>
        <w:t>推广可再生能源应用</w:t>
      </w:r>
      <w:bookmarkEnd w:id="67"/>
    </w:p>
    <w:p w14:paraId="3F5969F2">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加强规划建设阶段对可再生能源利用的研究规划，开展各类可再生能源、低碳能源利用技术体系的研究，全面推进化石能源清洁化替代，各区、县（市）要结合具体特征分别实施电能替代、天然气替代、集中供热替代及新能源替代。优先发展太阳能光伏在城镇及建筑中分布式、一体化应用，鼓励屋顶分布式光伏发电，实现就地生产，就地消纳；推动太阳能光热系统在城市中低层住宅及酒店、学校等有稳定热水需求的公共建筑应中应用；因地制宜推广使用水源热泵、地源热泵、空气源热泵、生物质燃烧炉等可再生能源应用技术解决建筑采暖用能需求。</w:t>
      </w:r>
    </w:p>
    <w:p w14:paraId="303B3522">
      <w:pPr>
        <w:pStyle w:val="4"/>
        <w:numPr>
          <w:ilvl w:val="2"/>
          <w:numId w:val="17"/>
        </w:numPr>
        <w:spacing w:before="0" w:beforeLines="0"/>
        <w:rPr>
          <w:rFonts w:ascii="Times New Roman" w:hAnsi="Times New Roman"/>
          <w:szCs w:val="24"/>
        </w:rPr>
      </w:pPr>
      <w:bookmarkStart w:id="68" w:name="_Toc91234887"/>
      <w:r>
        <w:rPr>
          <w:rFonts w:hint="eastAsia" w:ascii="楷体" w:hAnsi="楷体" w:eastAsia="楷体"/>
          <w:b w:val="0"/>
          <w:bCs/>
          <w:sz w:val="28"/>
          <w:szCs w:val="28"/>
        </w:rPr>
        <w:t>加快构建清洁取暖新格局</w:t>
      </w:r>
      <w:bookmarkEnd w:id="68"/>
    </w:p>
    <w:p w14:paraId="5341072F">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按照我国北方地区</w:t>
      </w:r>
      <w:r>
        <w:rPr>
          <w:rFonts w:ascii="Times New Roman" w:hAnsi="Times New Roman" w:cs="Times New Roman"/>
          <w:sz w:val="24"/>
          <w:szCs w:val="24"/>
        </w:rPr>
        <w:t>“</w:t>
      </w:r>
      <w:r>
        <w:rPr>
          <w:rFonts w:hint="eastAsia" w:ascii="Times New Roman" w:hAnsi="Times New Roman" w:cs="Times New Roman"/>
          <w:sz w:val="24"/>
          <w:szCs w:val="24"/>
        </w:rPr>
        <w:t>集中为主、分散为辅</w:t>
      </w:r>
      <w:r>
        <w:rPr>
          <w:rFonts w:ascii="Times New Roman" w:hAnsi="Times New Roman" w:cs="Times New Roman"/>
          <w:sz w:val="24"/>
          <w:szCs w:val="24"/>
        </w:rPr>
        <w:t>”</w:t>
      </w:r>
      <w:r>
        <w:rPr>
          <w:rFonts w:hint="eastAsia" w:ascii="Times New Roman" w:hAnsi="Times New Roman" w:cs="Times New Roman"/>
          <w:sz w:val="24"/>
          <w:szCs w:val="24"/>
        </w:rPr>
        <w:t>的总体供热格局，结合沈阳市用能特点、区域特点制定总体方案路线，围绕沈阳建设</w:t>
      </w:r>
      <w:r>
        <w:rPr>
          <w:rFonts w:ascii="Times New Roman" w:hAnsi="Times New Roman" w:cs="Times New Roman"/>
          <w:sz w:val="24"/>
          <w:szCs w:val="24"/>
        </w:rPr>
        <w:t>“</w:t>
      </w:r>
      <w:r>
        <w:rPr>
          <w:rFonts w:hint="eastAsia" w:ascii="Times New Roman" w:hAnsi="Times New Roman" w:cs="Times New Roman"/>
          <w:sz w:val="24"/>
          <w:szCs w:val="24"/>
        </w:rPr>
        <w:t>四个中心</w:t>
      </w:r>
      <w:r>
        <w:rPr>
          <w:rFonts w:ascii="Times New Roman" w:hAnsi="Times New Roman" w:cs="Times New Roman"/>
          <w:sz w:val="24"/>
          <w:szCs w:val="24"/>
        </w:rPr>
        <w:t>”</w:t>
      </w:r>
      <w:r>
        <w:rPr>
          <w:rFonts w:hint="eastAsia" w:ascii="Times New Roman" w:hAnsi="Times New Roman" w:cs="Times New Roman"/>
          <w:sz w:val="24"/>
          <w:szCs w:val="24"/>
        </w:rPr>
        <w:t>和推进高品质城乡建设要求编制沈阳市冬季清洁取暖专项规划。以</w:t>
      </w:r>
      <w:r>
        <w:rPr>
          <w:rFonts w:ascii="Times New Roman" w:hAnsi="Times New Roman" w:cs="Times New Roman"/>
          <w:sz w:val="24"/>
          <w:szCs w:val="24"/>
        </w:rPr>
        <w:t>“</w:t>
      </w:r>
      <w:r>
        <w:rPr>
          <w:rFonts w:hint="eastAsia" w:ascii="Times New Roman" w:hAnsi="Times New Roman" w:cs="Times New Roman"/>
          <w:sz w:val="24"/>
          <w:szCs w:val="24"/>
        </w:rPr>
        <w:t>全面优化供热能源结构，有序发展电、气、生物质等多种清洁能源供热，完善供热区域和网源空间布局，构建清洁低碳安全高效的供热体系</w:t>
      </w:r>
      <w:r>
        <w:rPr>
          <w:rFonts w:ascii="Times New Roman" w:hAnsi="Times New Roman" w:cs="Times New Roman"/>
          <w:sz w:val="24"/>
          <w:szCs w:val="24"/>
        </w:rPr>
        <w:t>”</w:t>
      </w:r>
      <w:r>
        <w:rPr>
          <w:rFonts w:hint="eastAsia" w:ascii="Times New Roman" w:hAnsi="Times New Roman" w:cs="Times New Roman"/>
          <w:sz w:val="24"/>
          <w:szCs w:val="24"/>
        </w:rPr>
        <w:t>为工作原则，在热源侧以“清洁、低碳”为发展导向，减少煤炭供热占比，提高清洁能源在供热场景中的应用，输配侧重点以“高效、节能”为发展导向，提高管网高效输送水平，降低供暖用热需求。力争到</w:t>
      </w:r>
      <w:r>
        <w:rPr>
          <w:rFonts w:ascii="Times New Roman" w:hAnsi="Times New Roman" w:cs="Times New Roman"/>
          <w:sz w:val="24"/>
          <w:szCs w:val="24"/>
        </w:rPr>
        <w:t>2025</w:t>
      </w:r>
      <w:r>
        <w:rPr>
          <w:rFonts w:hint="eastAsia" w:ascii="Times New Roman" w:hAnsi="Times New Roman" w:cs="Times New Roman"/>
          <w:sz w:val="24"/>
          <w:szCs w:val="24"/>
        </w:rPr>
        <w:t>年底清洁取暖率目标实现</w:t>
      </w:r>
      <w:r>
        <w:rPr>
          <w:rFonts w:ascii="Times New Roman" w:hAnsi="Times New Roman" w:cs="Times New Roman"/>
          <w:sz w:val="24"/>
          <w:szCs w:val="24"/>
        </w:rPr>
        <w:t>100%</w:t>
      </w:r>
      <w:r>
        <w:rPr>
          <w:rFonts w:hint="eastAsia" w:ascii="Times New Roman" w:hAnsi="Times New Roman" w:cs="Times New Roman"/>
          <w:sz w:val="24"/>
          <w:szCs w:val="24"/>
        </w:rPr>
        <w:t>。通过远距离长输供热、热电厂扩建以及天然气、地（水）源热泵、污水源热泵、空气源热泵、电蓄热锅炉等清洁能源供热项目的建设，扩大城市供热能力，并对具备条件燃煤锅炉逐步实施替代拆除和停运备用，此外，对保留运行的具备改造条件的大型燃煤锅炉进行超低排放改造，力争在规划末期实现二环内供热“无煤化”。重点鼓励医院、大型商场、学校等公共建筑和能效水平较高的新建建筑采用清洁能源取暖方式。</w:t>
      </w:r>
    </w:p>
    <w:p w14:paraId="11FE66E6">
      <w:pPr>
        <w:pStyle w:val="4"/>
        <w:numPr>
          <w:ilvl w:val="2"/>
          <w:numId w:val="17"/>
        </w:numPr>
        <w:spacing w:before="0" w:beforeLines="0"/>
        <w:rPr>
          <w:rFonts w:ascii="Times New Roman" w:hAnsi="Times New Roman"/>
          <w:szCs w:val="24"/>
        </w:rPr>
      </w:pPr>
      <w:bookmarkStart w:id="69" w:name="_Toc91234888"/>
      <w:r>
        <w:rPr>
          <w:rFonts w:hint="eastAsia" w:ascii="楷体" w:hAnsi="楷体" w:eastAsia="楷体"/>
          <w:b w:val="0"/>
          <w:bCs/>
          <w:sz w:val="28"/>
          <w:szCs w:val="28"/>
        </w:rPr>
        <w:t>积极推动建筑用能电气化</w:t>
      </w:r>
      <w:bookmarkEnd w:id="69"/>
    </w:p>
    <w:p w14:paraId="4440F59D">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扩大建筑终端用能清洁电力替代，积极推动以电代煤、以电代油、以电代气，解决建筑用能需求。开展以</w:t>
      </w:r>
      <w:r>
        <w:rPr>
          <w:rFonts w:ascii="Times New Roman" w:hAnsi="Times New Roman" w:cs="Times New Roman"/>
          <w:sz w:val="24"/>
          <w:szCs w:val="24"/>
        </w:rPr>
        <w:t>“</w:t>
      </w:r>
      <w:r>
        <w:rPr>
          <w:rFonts w:hint="eastAsia" w:ascii="Times New Roman" w:hAnsi="Times New Roman" w:cs="Times New Roman"/>
          <w:sz w:val="24"/>
          <w:szCs w:val="24"/>
        </w:rPr>
        <w:t>直流建筑</w:t>
      </w:r>
      <w:r>
        <w:rPr>
          <w:rFonts w:ascii="Times New Roman" w:hAnsi="Times New Roman" w:cs="Times New Roman"/>
          <w:sz w:val="24"/>
          <w:szCs w:val="24"/>
        </w:rPr>
        <w:t>+</w:t>
      </w:r>
      <w:r>
        <w:rPr>
          <w:rFonts w:hint="eastAsia" w:ascii="Times New Roman" w:hAnsi="Times New Roman" w:cs="Times New Roman"/>
          <w:sz w:val="24"/>
          <w:szCs w:val="24"/>
        </w:rPr>
        <w:t>分布式蓄电</w:t>
      </w:r>
      <w:r>
        <w:rPr>
          <w:rFonts w:ascii="Times New Roman" w:hAnsi="Times New Roman" w:cs="Times New Roman"/>
          <w:sz w:val="24"/>
          <w:szCs w:val="24"/>
        </w:rPr>
        <w:t>+</w:t>
      </w:r>
      <w:r>
        <w:rPr>
          <w:rFonts w:hint="eastAsia" w:ascii="Times New Roman" w:hAnsi="Times New Roman" w:cs="Times New Roman"/>
          <w:sz w:val="24"/>
          <w:szCs w:val="24"/>
        </w:rPr>
        <w:t>太阳能光伏</w:t>
      </w:r>
      <w:r>
        <w:rPr>
          <w:rFonts w:ascii="Times New Roman" w:hAnsi="Times New Roman" w:cs="Times New Roman"/>
          <w:sz w:val="24"/>
          <w:szCs w:val="24"/>
        </w:rPr>
        <w:t>+</w:t>
      </w:r>
      <w:r>
        <w:rPr>
          <w:rFonts w:hint="eastAsia" w:ascii="Times New Roman" w:hAnsi="Times New Roman" w:cs="Times New Roman"/>
          <w:sz w:val="24"/>
          <w:szCs w:val="24"/>
        </w:rPr>
        <w:t>智能充电桩</w:t>
      </w:r>
      <w:r>
        <w:rPr>
          <w:rFonts w:ascii="Times New Roman" w:hAnsi="Times New Roman" w:cs="Times New Roman"/>
          <w:sz w:val="24"/>
          <w:szCs w:val="24"/>
        </w:rPr>
        <w:t>”</w:t>
      </w:r>
      <w:r>
        <w:rPr>
          <w:rFonts w:hint="eastAsia" w:ascii="Times New Roman" w:hAnsi="Times New Roman" w:cs="Times New Roman"/>
          <w:sz w:val="24"/>
          <w:szCs w:val="24"/>
        </w:rPr>
        <w:t>为特征的新型建筑电力系统建设试点。充分发挥电力在建筑终端消费清洁性、可获得性、便利性优势，建立以电力消费为核心的建筑能源消费体系，提高建筑用能中清洁电力消费比例。在推动建筑领域光伏技术应用的基础上，充分结合建筑用能需求，大力推进电力保障生活热水、炊事、采暖等需求。</w:t>
      </w:r>
    </w:p>
    <w:p w14:paraId="29C9D807">
      <w:pPr>
        <w:pStyle w:val="4"/>
        <w:numPr>
          <w:ilvl w:val="2"/>
          <w:numId w:val="17"/>
        </w:numPr>
        <w:spacing w:before="0" w:beforeLines="0"/>
        <w:rPr>
          <w:rFonts w:ascii="楷体" w:hAnsi="楷体" w:eastAsia="楷体"/>
          <w:b w:val="0"/>
        </w:rPr>
      </w:pPr>
      <w:bookmarkStart w:id="70" w:name="_Toc91234889"/>
      <w:r>
        <w:rPr>
          <w:rFonts w:hint="eastAsia" w:ascii="楷体" w:hAnsi="楷体" w:eastAsia="楷体"/>
          <w:b w:val="0"/>
          <w:bCs/>
          <w:sz w:val="28"/>
          <w:szCs w:val="28"/>
        </w:rPr>
        <w:t>农村用能低碳化清洁化</w:t>
      </w:r>
      <w:bookmarkEnd w:id="70"/>
    </w:p>
    <w:p w14:paraId="64013090">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加大农村可再生能源应用比例，以化石能源清洁化替代为工作重点，优先考虑以生物质作为供热燃料进行改造，因地制宜采取天然气、电力、可再生能源等进行补充替代。推动农村</w:t>
      </w:r>
      <w:r>
        <w:rPr>
          <w:rFonts w:ascii="Times New Roman" w:hAnsi="Times New Roman" w:cs="Times New Roman"/>
          <w:sz w:val="24"/>
          <w:szCs w:val="24"/>
        </w:rPr>
        <w:t>“</w:t>
      </w:r>
      <w:r>
        <w:rPr>
          <w:rFonts w:hint="eastAsia" w:ascii="Times New Roman" w:hAnsi="Times New Roman" w:cs="Times New Roman"/>
          <w:sz w:val="24"/>
          <w:szCs w:val="24"/>
        </w:rPr>
        <w:t>清洁取暖</w:t>
      </w:r>
      <w:r>
        <w:rPr>
          <w:rFonts w:ascii="Times New Roman" w:hAnsi="Times New Roman" w:cs="Times New Roman"/>
          <w:sz w:val="24"/>
          <w:szCs w:val="24"/>
        </w:rPr>
        <w:t>”</w:t>
      </w:r>
      <w:r>
        <w:rPr>
          <w:rFonts w:hint="eastAsia" w:ascii="Times New Roman" w:hAnsi="Times New Roman" w:cs="Times New Roman"/>
          <w:sz w:val="24"/>
          <w:szCs w:val="24"/>
        </w:rPr>
        <w:t>改造，鼓励采用空气源热泵、太阳能、地源热泵与常规能源的复合供能系统、污水源和工业余热热泵等技术，在有条件的地区实施天然气下乡工程；鼓励生物质加工企业通过合同能源管理方式参与乡镇区域集中供热运营环节，以热定产，促进农村清洁取暖可持续运行。</w:t>
      </w:r>
    </w:p>
    <w:p w14:paraId="17C1BF39">
      <w:pPr>
        <w:pStyle w:val="4"/>
        <w:numPr>
          <w:ilvl w:val="2"/>
          <w:numId w:val="17"/>
        </w:numPr>
        <w:spacing w:before="0" w:beforeLines="0"/>
        <w:rPr>
          <w:rFonts w:ascii="楷体" w:hAnsi="楷体" w:eastAsia="楷体"/>
          <w:b w:val="0"/>
        </w:rPr>
      </w:pPr>
      <w:bookmarkStart w:id="71" w:name="_Toc91234890"/>
      <w:r>
        <w:rPr>
          <w:rFonts w:hint="eastAsia" w:ascii="楷体" w:hAnsi="楷体" w:eastAsia="楷体"/>
          <w:b w:val="0"/>
          <w:bCs/>
          <w:sz w:val="28"/>
          <w:szCs w:val="28"/>
        </w:rPr>
        <w:t>促进区域能源协同发展</w:t>
      </w:r>
      <w:bookmarkEnd w:id="71"/>
    </w:p>
    <w:p w14:paraId="5892DEEA">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推动建筑能源需求环节与能源供应及输配环节进行响应、互动，提升能源链条整体效率。开展电网友好型建筑建设示范，推广基于直流供电的建筑规划、设计技术，逐步丰富直流设备产业链生态，利用分布式光伏、储能技术、分布式能源利用技术等，提高建筑用能柔性。推动区域建筑能效提升，推广基于建筑用户能源需求及负荷预测的区域能源综合规划，以需定供，提高能源综合利用效率和能源基础设施投资效益。</w:t>
      </w:r>
    </w:p>
    <w:p w14:paraId="34FA3182">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开展城市新区、功能园区、建筑群等整体参与的电力需求响应试点，利用建筑用能监测数据合理引导建筑用户电力需求，积极参与调峰，培育智慧用能新模式，实现建筑用能端与电网供给端的智慧响应。</w:t>
      </w:r>
    </w:p>
    <w:p w14:paraId="67539774">
      <w:pPr>
        <w:pStyle w:val="44"/>
        <w:spacing w:line="360" w:lineRule="auto"/>
        <w:ind w:firstLine="0" w:firstLineChars="0"/>
        <w:jc w:val="center"/>
        <w:rPr>
          <w:rFonts w:hAnsi="仿宋" w:cs="Times New Roman"/>
          <w:b/>
          <w:bCs/>
          <w:sz w:val="21"/>
          <w:szCs w:val="21"/>
        </w:rPr>
      </w:pPr>
      <w:r>
        <w:rPr>
          <w:rFonts w:hint="eastAsia" w:ascii="Times New Roman" w:hAnsi="Times New Roman" w:cs="Times New Roman"/>
          <w:b/>
          <w:bCs/>
          <w:sz w:val="21"/>
          <w:szCs w:val="21"/>
        </w:rPr>
        <w:t>专栏</w:t>
      </w:r>
      <w:r>
        <w:rPr>
          <w:rFonts w:ascii="Times New Roman" w:hAnsi="Times New Roman" w:cs="Times New Roman"/>
          <w:b/>
          <w:bCs/>
          <w:sz w:val="21"/>
          <w:szCs w:val="21"/>
        </w:rPr>
        <w:t>5</w:t>
      </w:r>
      <w:r>
        <w:rPr>
          <w:rFonts w:hint="eastAsia" w:ascii="Times New Roman" w:hAnsi="Times New Roman" w:cs="Times New Roman"/>
          <w:b/>
          <w:bCs/>
          <w:sz w:val="21"/>
          <w:szCs w:val="21"/>
        </w:rPr>
        <w:t xml:space="preserve">  沈阳市推动建筑用能清洁化与低碳化重点任务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E22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923E4D2">
            <w:pPr>
              <w:pStyle w:val="44"/>
              <w:snapToGrid w:val="0"/>
              <w:spacing w:line="360" w:lineRule="auto"/>
              <w:ind w:firstLine="422"/>
              <w:rPr>
                <w:rFonts w:ascii="Times New Roman" w:hAnsi="Times New Roman" w:cs="Times New Roman"/>
                <w:sz w:val="21"/>
                <w:szCs w:val="21"/>
              </w:rPr>
            </w:pPr>
            <w:r>
              <w:rPr>
                <w:rFonts w:ascii="Times New Roman" w:hAnsi="Times New Roman" w:cs="Times New Roman"/>
                <w:b/>
                <w:sz w:val="21"/>
                <w:szCs w:val="21"/>
              </w:rPr>
              <w:t>巩固推进清洁取暖工作。</w:t>
            </w:r>
            <w:r>
              <w:rPr>
                <w:rFonts w:ascii="Times New Roman" w:hAnsi="Times New Roman" w:cs="Times New Roman"/>
                <w:sz w:val="21"/>
                <w:szCs w:val="21"/>
              </w:rPr>
              <w:t>到2025年，沈阳市超低排放热电、达标排放大型燃煤热源厂、清洁能源等清洁供暖比重提高至90%以上</w:t>
            </w:r>
            <w:r>
              <w:rPr>
                <w:rFonts w:hint="eastAsia" w:ascii="Times New Roman" w:hAnsi="Times New Roman" w:cs="Times New Roman"/>
                <w:sz w:val="21"/>
                <w:szCs w:val="21"/>
              </w:rPr>
              <w:t>，</w:t>
            </w:r>
            <w:r>
              <w:rPr>
                <w:rFonts w:ascii="Times New Roman" w:hAnsi="Times New Roman" w:cs="Times New Roman"/>
                <w:sz w:val="21"/>
                <w:szCs w:val="21"/>
              </w:rPr>
              <w:t>沈阳市城区清洁取暖率达到100%，县城清洁取暖率达到100%</w:t>
            </w:r>
            <w:r>
              <w:rPr>
                <w:rFonts w:hint="eastAsia" w:ascii="Times New Roman" w:hAnsi="Times New Roman" w:cs="Times New Roman"/>
                <w:sz w:val="21"/>
                <w:szCs w:val="21"/>
              </w:rPr>
              <w:t>，热电联产集中供热比例达到</w:t>
            </w:r>
            <w:r>
              <w:rPr>
                <w:rFonts w:ascii="Times New Roman" w:hAnsi="Times New Roman" w:cs="Times New Roman"/>
                <w:sz w:val="21"/>
                <w:szCs w:val="21"/>
              </w:rPr>
              <w:t>50%</w:t>
            </w:r>
            <w:r>
              <w:rPr>
                <w:rFonts w:hint="eastAsia" w:ascii="Times New Roman" w:hAnsi="Times New Roman" w:cs="Times New Roman"/>
                <w:sz w:val="21"/>
                <w:szCs w:val="21"/>
              </w:rPr>
              <w:t>，清洁能源供热比例达到</w:t>
            </w:r>
            <w:r>
              <w:rPr>
                <w:rFonts w:ascii="Times New Roman" w:hAnsi="Times New Roman" w:cs="Times New Roman"/>
                <w:sz w:val="21"/>
                <w:szCs w:val="21"/>
              </w:rPr>
              <w:t>10%。淘汰和改造建成区内40吨及以下具备条件的民用燃煤供热锅炉，完成100吨及以上供热燃煤锅炉超低排放改造</w:t>
            </w:r>
            <w:r>
              <w:rPr>
                <w:rFonts w:hint="eastAsia" w:ascii="Times New Roman" w:hAnsi="Times New Roman" w:cs="Times New Roman"/>
                <w:sz w:val="21"/>
                <w:szCs w:val="21"/>
              </w:rPr>
              <w:t>。</w:t>
            </w:r>
          </w:p>
        </w:tc>
      </w:tr>
      <w:tr w14:paraId="19D4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00A713E">
            <w:pPr>
              <w:pStyle w:val="44"/>
              <w:snapToGrid w:val="0"/>
              <w:spacing w:line="360" w:lineRule="auto"/>
              <w:ind w:firstLine="422"/>
              <w:rPr>
                <w:rFonts w:ascii="Times New Roman" w:hAnsi="Times New Roman" w:cs="Times New Roman"/>
                <w:sz w:val="21"/>
                <w:szCs w:val="21"/>
              </w:rPr>
            </w:pPr>
            <w:r>
              <w:rPr>
                <w:rFonts w:ascii="Times New Roman" w:hAnsi="Times New Roman" w:cs="Times New Roman"/>
                <w:b/>
                <w:sz w:val="21"/>
                <w:szCs w:val="21"/>
              </w:rPr>
              <w:t>提升可再生能源应用规模。</w:t>
            </w:r>
            <w:r>
              <w:rPr>
                <w:rFonts w:hint="eastAsia" w:ascii="Times New Roman" w:hAnsi="Times New Roman" w:cs="Times New Roman"/>
                <w:bCs/>
                <w:sz w:val="21"/>
                <w:szCs w:val="21"/>
              </w:rPr>
              <w:t>积极探索光伏与建筑结合的实施方案，推动太阳能光伏分布式、一体化应用</w:t>
            </w:r>
            <w:r>
              <w:rPr>
                <w:rFonts w:hint="eastAsia" w:ascii="Times New Roman" w:hAnsi="Times New Roman" w:cs="Times New Roman"/>
                <w:sz w:val="21"/>
                <w:szCs w:val="21"/>
              </w:rPr>
              <w:t>，到</w:t>
            </w:r>
            <w:r>
              <w:rPr>
                <w:rFonts w:ascii="Times New Roman" w:hAnsi="Times New Roman" w:cs="Times New Roman"/>
                <w:sz w:val="21"/>
                <w:szCs w:val="21"/>
              </w:rPr>
              <w:t>2025年，城镇建筑可再生能源替代率达到8%，新建公共机构建筑、新建厂房屋顶光伏覆盖率力争达到50%。</w:t>
            </w:r>
          </w:p>
        </w:tc>
      </w:tr>
      <w:tr w14:paraId="55EC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tcPr>
          <w:p w14:paraId="27721501">
            <w:pPr>
              <w:pStyle w:val="44"/>
              <w:snapToGrid w:val="0"/>
              <w:spacing w:line="360" w:lineRule="auto"/>
              <w:ind w:firstLine="422"/>
              <w:rPr>
                <w:rFonts w:ascii="Times New Roman" w:hAnsi="Times New Roman" w:cs="Times New Roman"/>
                <w:b/>
                <w:sz w:val="21"/>
                <w:szCs w:val="21"/>
              </w:rPr>
            </w:pPr>
            <w:r>
              <w:rPr>
                <w:rFonts w:ascii="Times New Roman" w:hAnsi="Times New Roman" w:cs="Times New Roman"/>
                <w:b/>
                <w:sz w:val="21"/>
                <w:szCs w:val="21"/>
              </w:rPr>
              <w:t>功能园区与建筑群区域能源试点。</w:t>
            </w:r>
            <w:r>
              <w:rPr>
                <w:rFonts w:ascii="Times New Roman" w:hAnsi="Times New Roman" w:cs="Times New Roman"/>
                <w:bCs/>
                <w:sz w:val="21"/>
                <w:szCs w:val="21"/>
              </w:rPr>
              <w:t>针对浑南区、苏家屯区、沈北新区、经开区中德节能示范园等区域，开展多能互补、梯级利用的区域能源试点</w:t>
            </w:r>
            <w:r>
              <w:rPr>
                <w:rFonts w:hint="eastAsia" w:ascii="Times New Roman" w:hAnsi="Times New Roman" w:cs="Times New Roman"/>
                <w:bCs/>
                <w:sz w:val="21"/>
                <w:szCs w:val="21"/>
              </w:rPr>
              <w:t>，合理利用可再生能源、工业余热及燃气等多种分布式清洁能源，结合低碳</w:t>
            </w:r>
            <w:r>
              <w:rPr>
                <w:rFonts w:ascii="Times New Roman" w:hAnsi="Times New Roman" w:cs="Times New Roman"/>
                <w:bCs/>
                <w:sz w:val="21"/>
                <w:szCs w:val="21"/>
              </w:rPr>
              <w:t>/零碳技术、终端节能技术，实现能量消耗与产出</w:t>
            </w:r>
            <w:r>
              <w:rPr>
                <w:rFonts w:hint="eastAsia" w:ascii="Times New Roman" w:hAnsi="Times New Roman" w:cs="Times New Roman"/>
                <w:bCs/>
                <w:sz w:val="21"/>
                <w:szCs w:val="21"/>
              </w:rPr>
              <w:t>的平衡，实现高效、清洁、低碳供能，强化供热“源—网—荷—储”全环节动态性和耦合性，显著提升节能效果</w:t>
            </w:r>
            <w:r>
              <w:rPr>
                <w:rFonts w:ascii="Times New Roman" w:hAnsi="Times New Roman" w:cs="Times New Roman"/>
                <w:bCs/>
                <w:sz w:val="21"/>
                <w:szCs w:val="21"/>
              </w:rPr>
              <w:t>。</w:t>
            </w:r>
            <w:r>
              <w:rPr>
                <w:rFonts w:ascii="Times New Roman" w:hAnsi="Times New Roman" w:cs="Times New Roman"/>
                <w:sz w:val="21"/>
                <w:szCs w:val="21"/>
              </w:rPr>
              <w:t>建立符合沈阳市实际的产业园区（产业集群）绿色指标体系，</w:t>
            </w:r>
            <w:r>
              <w:rPr>
                <w:rFonts w:ascii="Times New Roman" w:hAnsi="Times New Roman" w:cs="Times New Roman"/>
                <w:bCs/>
                <w:sz w:val="21"/>
                <w:szCs w:val="21"/>
              </w:rPr>
              <w:t>结合</w:t>
            </w:r>
            <w:r>
              <w:rPr>
                <w:rFonts w:ascii="Times New Roman" w:hAnsi="Times New Roman" w:cs="Times New Roman"/>
                <w:sz w:val="21"/>
                <w:szCs w:val="21"/>
              </w:rPr>
              <w:t>沈阳经济技术开发区、沈阳辉山经济技术开发区等国家级或省级开发区园区循环化改造，推进近零排放示范区建设。</w:t>
            </w:r>
          </w:p>
        </w:tc>
      </w:tr>
    </w:tbl>
    <w:p w14:paraId="610E8C06">
      <w:pPr>
        <w:pStyle w:val="44"/>
        <w:rPr>
          <w:rFonts w:ascii="Times New Roman" w:hAnsi="Times New Roman" w:cs="Times New Roman"/>
        </w:rPr>
      </w:pPr>
    </w:p>
    <w:p w14:paraId="695E730D">
      <w:pPr>
        <w:pStyle w:val="3"/>
        <w:ind w:left="0" w:firstLine="482"/>
        <w:rPr>
          <w:rFonts w:ascii="黑体" w:hAnsi="黑体" w:eastAsia="黑体"/>
        </w:rPr>
      </w:pPr>
      <w:bookmarkStart w:id="72" w:name="_Toc91234891"/>
      <w:r>
        <w:rPr>
          <w:rFonts w:hint="eastAsia" w:ascii="黑体" w:hAnsi="黑体" w:eastAsia="黑体"/>
        </w:rPr>
        <w:t>新型建筑工业化发展</w:t>
      </w:r>
      <w:bookmarkEnd w:id="72"/>
    </w:p>
    <w:p w14:paraId="07442C7E">
      <w:pPr>
        <w:pStyle w:val="4"/>
        <w:numPr>
          <w:ilvl w:val="2"/>
          <w:numId w:val="18"/>
        </w:numPr>
        <w:spacing w:before="0" w:beforeLines="0"/>
        <w:rPr>
          <w:rFonts w:ascii="楷体" w:hAnsi="楷体" w:eastAsia="楷体"/>
          <w:b w:val="0"/>
        </w:rPr>
      </w:pPr>
      <w:bookmarkStart w:id="73" w:name="_Toc91234892"/>
      <w:r>
        <w:rPr>
          <w:rFonts w:hint="eastAsia" w:ascii="楷体" w:hAnsi="楷体" w:eastAsia="楷体"/>
          <w:b w:val="0"/>
          <w:bCs/>
          <w:sz w:val="28"/>
          <w:szCs w:val="28"/>
        </w:rPr>
        <w:t>推进建筑业现代化转型</w:t>
      </w:r>
      <w:bookmarkEnd w:id="73"/>
    </w:p>
    <w:p w14:paraId="3FE4D759">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推动智能建造与建筑工业化协同发展，大力发展</w:t>
      </w:r>
      <w:r>
        <w:rPr>
          <w:rFonts w:ascii="Times New Roman" w:hAnsi="Times New Roman" w:cs="Times New Roman"/>
          <w:sz w:val="24"/>
          <w:szCs w:val="24"/>
        </w:rPr>
        <w:t>“</w:t>
      </w:r>
      <w:r>
        <w:rPr>
          <w:rFonts w:hint="eastAsia" w:ascii="Times New Roman" w:hAnsi="Times New Roman" w:cs="Times New Roman"/>
          <w:sz w:val="24"/>
          <w:szCs w:val="24"/>
        </w:rPr>
        <w:t>装配式</w:t>
      </w:r>
      <w:r>
        <w:rPr>
          <w:rFonts w:ascii="Times New Roman" w:hAnsi="Times New Roman" w:cs="Times New Roman"/>
          <w:sz w:val="24"/>
          <w:szCs w:val="24"/>
        </w:rPr>
        <w:t>+</w:t>
      </w:r>
      <w:r>
        <w:rPr>
          <w:rFonts w:hint="eastAsia" w:ascii="Times New Roman" w:hAnsi="Times New Roman" w:cs="Times New Roman"/>
          <w:sz w:val="24"/>
          <w:szCs w:val="24"/>
        </w:rPr>
        <w:t>超低能耗</w:t>
      </w:r>
      <w:r>
        <w:rPr>
          <w:rFonts w:ascii="Times New Roman" w:hAnsi="Times New Roman" w:cs="Times New Roman"/>
          <w:sz w:val="24"/>
          <w:szCs w:val="24"/>
        </w:rPr>
        <w:t>+</w:t>
      </w:r>
      <w:r>
        <w:rPr>
          <w:rFonts w:hint="eastAsia" w:ascii="Times New Roman" w:hAnsi="Times New Roman" w:cs="Times New Roman"/>
          <w:sz w:val="24"/>
          <w:szCs w:val="24"/>
        </w:rPr>
        <w:t>健康住宅</w:t>
      </w:r>
      <w:r>
        <w:rPr>
          <w:rFonts w:ascii="Times New Roman" w:hAnsi="Times New Roman" w:cs="Times New Roman"/>
          <w:sz w:val="24"/>
          <w:szCs w:val="24"/>
        </w:rPr>
        <w:t>”</w:t>
      </w:r>
      <w:r>
        <w:rPr>
          <w:rFonts w:hint="eastAsia" w:ascii="Times New Roman" w:hAnsi="Times New Roman" w:cs="Times New Roman"/>
          <w:sz w:val="24"/>
          <w:szCs w:val="24"/>
        </w:rPr>
        <w:t>绿色建筑体系。以发展装配式建筑为载体，以数字化、网络化、智能化为驱动力，发展建筑产业互联网和建筑机器人，培育一批智能建造龙头企业，形成建筑业与信息产业、先进制造业等融合发展的新业态。</w:t>
      </w:r>
    </w:p>
    <w:p w14:paraId="3BFB0148">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建立健全现代建筑产业发展的政策体系、产业体系、标准体系、技术体系、管理体系、产品体系和人才体系，推进</w:t>
      </w:r>
      <w:r>
        <w:rPr>
          <w:rFonts w:ascii="Times New Roman" w:hAnsi="Times New Roman" w:cs="Times New Roman"/>
          <w:sz w:val="24"/>
          <w:szCs w:val="24"/>
        </w:rPr>
        <w:t>BIM</w:t>
      </w:r>
      <w:r>
        <w:rPr>
          <w:rFonts w:hint="eastAsia" w:ascii="Times New Roman" w:hAnsi="Times New Roman" w:cs="Times New Roman"/>
          <w:sz w:val="24"/>
          <w:szCs w:val="24"/>
        </w:rPr>
        <w:t>应用和</w:t>
      </w:r>
      <w:r>
        <w:rPr>
          <w:rFonts w:ascii="Times New Roman" w:hAnsi="Times New Roman" w:cs="Times New Roman"/>
          <w:sz w:val="24"/>
          <w:szCs w:val="24"/>
        </w:rPr>
        <w:t>EPC</w:t>
      </w:r>
      <w:r>
        <w:rPr>
          <w:rFonts w:hint="eastAsia" w:ascii="Times New Roman" w:hAnsi="Times New Roman" w:cs="Times New Roman"/>
          <w:sz w:val="24"/>
          <w:szCs w:val="24"/>
        </w:rPr>
        <w:t>总承包，促进工程建设一体化。完善技术体系，加强技术研发推广。组织专家学者研究编制成品住宅等目前国家和省级尚未出台的技术，建立科技成果库，积极探索</w:t>
      </w:r>
      <w:r>
        <w:rPr>
          <w:rFonts w:ascii="Times New Roman" w:hAnsi="Times New Roman" w:cs="Times New Roman"/>
          <w:sz w:val="24"/>
          <w:szCs w:val="24"/>
        </w:rPr>
        <w:t>5G</w:t>
      </w:r>
      <w:r>
        <w:rPr>
          <w:rFonts w:hint="eastAsia" w:ascii="Times New Roman" w:hAnsi="Times New Roman" w:cs="Times New Roman"/>
          <w:sz w:val="24"/>
          <w:szCs w:val="24"/>
        </w:rPr>
        <w:t>、物联网、人工智能、建筑机器人、建筑信息模型（</w:t>
      </w:r>
      <w:r>
        <w:rPr>
          <w:rFonts w:ascii="Times New Roman" w:hAnsi="Times New Roman" w:cs="Times New Roman"/>
          <w:sz w:val="24"/>
          <w:szCs w:val="24"/>
        </w:rPr>
        <w:t>BIM</w:t>
      </w:r>
      <w:r>
        <w:rPr>
          <w:rFonts w:hint="eastAsia" w:ascii="Times New Roman" w:hAnsi="Times New Roman" w:cs="Times New Roman"/>
          <w:sz w:val="24"/>
          <w:szCs w:val="24"/>
        </w:rPr>
        <w:t>）、城市信息模型（</w:t>
      </w:r>
      <w:r>
        <w:rPr>
          <w:rFonts w:ascii="Times New Roman" w:hAnsi="Times New Roman" w:cs="Times New Roman"/>
          <w:sz w:val="24"/>
          <w:szCs w:val="24"/>
        </w:rPr>
        <w:t>CIM</w:t>
      </w:r>
      <w:r>
        <w:rPr>
          <w:rFonts w:hint="eastAsia" w:ascii="Times New Roman" w:hAnsi="Times New Roman" w:cs="Times New Roman"/>
          <w:sz w:val="24"/>
          <w:szCs w:val="24"/>
        </w:rPr>
        <w:t>）等新技术在工程建设领域的应用。发挥政府投资项目的产业化建设引领作用，推广应用一体化总承包模式、</w:t>
      </w:r>
      <w:r>
        <w:rPr>
          <w:rFonts w:ascii="Times New Roman" w:hAnsi="Times New Roman" w:cs="Times New Roman"/>
          <w:sz w:val="24"/>
          <w:szCs w:val="24"/>
        </w:rPr>
        <w:t>BIM</w:t>
      </w:r>
      <w:r>
        <w:rPr>
          <w:rFonts w:hint="eastAsia" w:ascii="Times New Roman" w:hAnsi="Times New Roman" w:cs="Times New Roman"/>
          <w:sz w:val="24"/>
          <w:szCs w:val="24"/>
        </w:rPr>
        <w:t>及钢结构、木结构等低碳绿色新技术。</w:t>
      </w:r>
    </w:p>
    <w:p w14:paraId="2A22724A">
      <w:pPr>
        <w:pStyle w:val="4"/>
        <w:numPr>
          <w:ilvl w:val="2"/>
          <w:numId w:val="18"/>
        </w:numPr>
        <w:spacing w:before="0" w:beforeLines="0"/>
        <w:rPr>
          <w:rFonts w:ascii="楷体" w:hAnsi="楷体" w:eastAsia="楷体"/>
          <w:b w:val="0"/>
        </w:rPr>
      </w:pPr>
      <w:bookmarkStart w:id="74" w:name="_Toc91234893"/>
      <w:r>
        <w:rPr>
          <w:rFonts w:hint="eastAsia" w:ascii="楷体" w:hAnsi="楷体" w:eastAsia="楷体"/>
          <w:b w:val="0"/>
          <w:bCs/>
          <w:sz w:val="28"/>
          <w:szCs w:val="28"/>
        </w:rPr>
        <w:t>规模化推广装配式建筑</w:t>
      </w:r>
      <w:bookmarkEnd w:id="74"/>
    </w:p>
    <w:p w14:paraId="40DFF121">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逐年提高采用建筑产业现代化方式建造的新建建筑比例，把装配式建造作为主要建造方式，推进绿色建筑、超低能耗建筑与装配式建筑的协同发展。在商品住宅中积极应用装配式混凝土结构，大力推进全面应用预制内隔墙、预制楼梯板和预制楼板，争取</w:t>
      </w:r>
      <w:r>
        <w:rPr>
          <w:rFonts w:ascii="Times New Roman" w:hAnsi="Times New Roman" w:cs="Times New Roman"/>
          <w:sz w:val="24"/>
          <w:szCs w:val="24"/>
        </w:rPr>
        <w:t>“</w:t>
      </w:r>
      <w:r>
        <w:rPr>
          <w:rFonts w:hint="eastAsia" w:ascii="Times New Roman" w:hAnsi="Times New Roman" w:cs="Times New Roman"/>
          <w:sz w:val="24"/>
          <w:szCs w:val="24"/>
        </w:rPr>
        <w:t>十四五</w:t>
      </w:r>
      <w:r>
        <w:rPr>
          <w:rFonts w:ascii="Times New Roman" w:hAnsi="Times New Roman" w:cs="Times New Roman"/>
          <w:sz w:val="24"/>
          <w:szCs w:val="24"/>
        </w:rPr>
        <w:t>”</w:t>
      </w:r>
      <w:r>
        <w:rPr>
          <w:rFonts w:hint="eastAsia" w:ascii="Times New Roman" w:hAnsi="Times New Roman" w:cs="Times New Roman"/>
          <w:sz w:val="24"/>
          <w:szCs w:val="24"/>
        </w:rPr>
        <w:t>期末实现预制三板应用达到</w:t>
      </w:r>
      <w:r>
        <w:rPr>
          <w:rFonts w:ascii="Times New Roman" w:hAnsi="Times New Roman" w:cs="Times New Roman"/>
          <w:sz w:val="24"/>
          <w:szCs w:val="24"/>
        </w:rPr>
        <w:t>100%</w:t>
      </w:r>
      <w:r>
        <w:rPr>
          <w:rFonts w:hint="eastAsia" w:ascii="Times New Roman" w:hAnsi="Times New Roman" w:cs="Times New Roman"/>
          <w:sz w:val="24"/>
          <w:szCs w:val="24"/>
        </w:rPr>
        <w:t>。加大力度发展钢结构建筑，明确推广应用重点，鼓励医院、学校等公共建筑优先采用钢结构建筑，积极推进钢结构住宅建设。</w:t>
      </w:r>
    </w:p>
    <w:p w14:paraId="49F65FCB">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强化标准部品部件推广应用，建立健全装配式建筑全要素产业链，通过更新技术充分发挥产能，增加生产线适当扩大产能，实现</w:t>
      </w:r>
      <w:r>
        <w:rPr>
          <w:rFonts w:ascii="Times New Roman" w:hAnsi="Times New Roman" w:cs="Times New Roman"/>
          <w:sz w:val="24"/>
          <w:szCs w:val="24"/>
        </w:rPr>
        <w:t>“</w:t>
      </w:r>
      <w:r>
        <w:rPr>
          <w:rFonts w:hint="eastAsia" w:ascii="Times New Roman" w:hAnsi="Times New Roman" w:cs="Times New Roman"/>
          <w:sz w:val="24"/>
          <w:szCs w:val="24"/>
        </w:rPr>
        <w:t>十四五</w:t>
      </w:r>
      <w:r>
        <w:rPr>
          <w:rFonts w:ascii="Times New Roman" w:hAnsi="Times New Roman" w:cs="Times New Roman"/>
          <w:sz w:val="24"/>
          <w:szCs w:val="24"/>
        </w:rPr>
        <w:t>”</w:t>
      </w:r>
      <w:r>
        <w:rPr>
          <w:rFonts w:hint="eastAsia" w:ascii="Times New Roman" w:hAnsi="Times New Roman" w:cs="Times New Roman"/>
          <w:sz w:val="24"/>
          <w:szCs w:val="24"/>
        </w:rPr>
        <w:t>期间新增预制混凝土构件产能</w:t>
      </w:r>
      <w:r>
        <w:rPr>
          <w:rFonts w:ascii="Times New Roman" w:hAnsi="Times New Roman" w:cs="Times New Roman"/>
          <w:sz w:val="24"/>
          <w:szCs w:val="24"/>
        </w:rPr>
        <w:t>100</w:t>
      </w:r>
      <w:r>
        <w:rPr>
          <w:rFonts w:hint="eastAsia" w:ascii="Times New Roman" w:hAnsi="Times New Roman" w:cs="Times New Roman"/>
          <w:sz w:val="24"/>
          <w:szCs w:val="24"/>
        </w:rPr>
        <w:t>万立方米。持续开展国家级装配式建筑基地示范城市、示范基地推荐和省级装配式建筑基地评定工作，完善装配式建筑全产业链监管体系建设。建立</w:t>
      </w:r>
      <w:r>
        <w:rPr>
          <w:rFonts w:ascii="Times New Roman" w:hAnsi="Times New Roman" w:cs="Times New Roman"/>
          <w:sz w:val="24"/>
          <w:szCs w:val="24"/>
        </w:rPr>
        <w:t>“</w:t>
      </w:r>
      <w:r>
        <w:rPr>
          <w:rFonts w:hint="eastAsia" w:ascii="Times New Roman" w:hAnsi="Times New Roman" w:cs="Times New Roman"/>
          <w:sz w:val="24"/>
          <w:szCs w:val="24"/>
        </w:rPr>
        <w:t>研发</w:t>
      </w:r>
      <w:r>
        <w:rPr>
          <w:rFonts w:ascii="Times New Roman" w:hAnsi="Times New Roman" w:cs="Times New Roman"/>
          <w:sz w:val="24"/>
          <w:szCs w:val="24"/>
        </w:rPr>
        <w:t>—</w:t>
      </w:r>
      <w:r>
        <w:rPr>
          <w:rFonts w:hint="eastAsia" w:ascii="Times New Roman" w:hAnsi="Times New Roman" w:cs="Times New Roman"/>
          <w:sz w:val="24"/>
          <w:szCs w:val="24"/>
        </w:rPr>
        <w:t>应用</w:t>
      </w:r>
      <w:r>
        <w:rPr>
          <w:rFonts w:ascii="Times New Roman" w:hAnsi="Times New Roman" w:cs="Times New Roman"/>
          <w:sz w:val="24"/>
          <w:szCs w:val="24"/>
        </w:rPr>
        <w:t>—</w:t>
      </w:r>
      <w:r>
        <w:rPr>
          <w:rFonts w:hint="eastAsia" w:ascii="Times New Roman" w:hAnsi="Times New Roman" w:cs="Times New Roman"/>
          <w:sz w:val="24"/>
          <w:szCs w:val="24"/>
        </w:rPr>
        <w:t>推广</w:t>
      </w:r>
      <w:r>
        <w:rPr>
          <w:rFonts w:ascii="Times New Roman" w:hAnsi="Times New Roman" w:cs="Times New Roman"/>
          <w:sz w:val="24"/>
          <w:szCs w:val="24"/>
        </w:rPr>
        <w:t>”</w:t>
      </w:r>
      <w:r>
        <w:rPr>
          <w:rFonts w:hint="eastAsia" w:ascii="Times New Roman" w:hAnsi="Times New Roman" w:cs="Times New Roman"/>
          <w:sz w:val="24"/>
          <w:szCs w:val="24"/>
        </w:rPr>
        <w:t>的发展路径，在国家现代建筑产业试点示范基础上，重点打造智能建造科技研发基地、装配式建筑产业生产基地、建筑产业培训中心。</w:t>
      </w:r>
    </w:p>
    <w:p w14:paraId="3617EB69">
      <w:pPr>
        <w:pStyle w:val="4"/>
        <w:numPr>
          <w:ilvl w:val="2"/>
          <w:numId w:val="18"/>
        </w:numPr>
        <w:spacing w:before="0" w:beforeLines="0"/>
        <w:rPr>
          <w:rFonts w:ascii="Times New Roman" w:hAnsi="Times New Roman"/>
          <w:szCs w:val="24"/>
        </w:rPr>
      </w:pPr>
      <w:bookmarkStart w:id="75" w:name="_Toc91234894"/>
      <w:r>
        <w:rPr>
          <w:rFonts w:hint="eastAsia" w:ascii="楷体" w:hAnsi="楷体" w:eastAsia="楷体"/>
          <w:b w:val="0"/>
          <w:bCs/>
          <w:sz w:val="28"/>
          <w:szCs w:val="28"/>
        </w:rPr>
        <w:t>加大绿色建材应用与推广</w:t>
      </w:r>
      <w:bookmarkEnd w:id="75"/>
    </w:p>
    <w:p w14:paraId="7D71EDB8">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完善绿色建材采购需求标准、政策措施体系和工作机制，加大绿色建材应用力度。出台扶持政策，对使用获得主管部门认定的绿色建材产品和材料的建筑项目给予政策优惠，鼓励在绿色建筑、装配式建筑等工程建设项目采用国家绿色建材采信应用数据库中的产品。发挥政府采购的示范引领作用，落实绿色产品政府采购政策，严格执行强制采购和优先采购制度，制定出台政府绿色采购目录，扩大绿色产品采购范围。选择部分通用类绿色建材探索实施批量集中采购，由集中采购机构定期归集采购人绿色建材采购计划，开展集中带量采购，在政府投资项目中提高绿色建材应用比例，打造绿色建材应用示范工程。支持绿色建材企业发展，加强建材生产与建筑设计、工程建造等上下游企业互动，培育绿色建材示范企业和示范基地，引导企业推进绿色生产，提升绿色建材供应能力。建立健全绿色建材管理监督制度。加强对绿色建材产品生产应用的监督管理，建立本市绿色建材采信和推广应用机制，实施绿色建材信息化管理和推荐目录管理，开发绿色建材采信应用数据平台，实现绿色建材信息展示、查询、产品追踪溯源等功能。</w:t>
      </w:r>
    </w:p>
    <w:p w14:paraId="0B8A841D">
      <w:pPr>
        <w:pStyle w:val="4"/>
        <w:numPr>
          <w:ilvl w:val="2"/>
          <w:numId w:val="18"/>
        </w:numPr>
        <w:spacing w:before="0" w:beforeLines="0"/>
        <w:rPr>
          <w:rFonts w:ascii="楷体" w:hAnsi="楷体" w:eastAsia="楷体"/>
          <w:b w:val="0"/>
        </w:rPr>
      </w:pPr>
      <w:bookmarkStart w:id="76" w:name="_Toc91234895"/>
      <w:r>
        <w:rPr>
          <w:rFonts w:hint="eastAsia" w:ascii="楷体" w:hAnsi="楷体" w:eastAsia="楷体"/>
          <w:b w:val="0"/>
          <w:bCs/>
          <w:sz w:val="28"/>
          <w:szCs w:val="28"/>
        </w:rPr>
        <w:t>推进建筑垃圾资源化利用</w:t>
      </w:r>
      <w:bookmarkEnd w:id="76"/>
    </w:p>
    <w:p w14:paraId="79F619D0">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开展建筑垃圾治理，提高源头减量及资源化利用水平，合理布局建筑垃圾转运调配、消纳处置和资源化利用设施，加强建筑垃圾全过程管理。制定《建筑废弃物资源化综合利用方案》，推广建筑工程拆解后的建筑垃圾分类及再生产品就近使用方式，对现场无法实施资源化综合利用的建筑垃圾，采用专业建筑垃圾运输车辆运至有资质的消纳场或固定式建筑垃圾资源化处置工厂进行处理。无法进行资源化处置的危险废弃物、有毒有害废弃物等应按照</w:t>
      </w:r>
      <w:r>
        <w:rPr>
          <w:rFonts w:ascii="Times New Roman" w:hAnsi="Times New Roman" w:cs="Times New Roman"/>
          <w:sz w:val="24"/>
          <w:szCs w:val="24"/>
        </w:rPr>
        <w:t>“</w:t>
      </w:r>
      <w:r>
        <w:rPr>
          <w:rFonts w:hint="eastAsia" w:ascii="Times New Roman" w:hAnsi="Times New Roman" w:cs="Times New Roman"/>
          <w:sz w:val="24"/>
          <w:szCs w:val="24"/>
        </w:rPr>
        <w:t>谁产生、谁负责</w:t>
      </w:r>
      <w:r>
        <w:rPr>
          <w:rFonts w:ascii="Times New Roman" w:hAnsi="Times New Roman" w:cs="Times New Roman"/>
          <w:sz w:val="24"/>
          <w:szCs w:val="24"/>
        </w:rPr>
        <w:t>”</w:t>
      </w:r>
      <w:r>
        <w:rPr>
          <w:rFonts w:hint="eastAsia" w:ascii="Times New Roman" w:hAnsi="Times New Roman" w:cs="Times New Roman"/>
          <w:sz w:val="24"/>
          <w:szCs w:val="24"/>
        </w:rPr>
        <w:t>以及行业监管的原则，由产生单位妥善处置。</w:t>
      </w:r>
    </w:p>
    <w:p w14:paraId="5182391C">
      <w:pPr>
        <w:pStyle w:val="44"/>
        <w:spacing w:line="360" w:lineRule="auto"/>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专栏6  沈阳市新型建筑工业化发展重点任务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B4D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B3220C2">
            <w:pPr>
              <w:pStyle w:val="44"/>
              <w:snapToGrid w:val="0"/>
              <w:spacing w:line="360" w:lineRule="auto"/>
              <w:ind w:firstLine="422"/>
              <w:rPr>
                <w:rFonts w:ascii="Times New Roman" w:hAnsi="Times New Roman" w:cs="Times New Roman"/>
                <w:sz w:val="21"/>
                <w:szCs w:val="21"/>
              </w:rPr>
            </w:pPr>
            <w:r>
              <w:rPr>
                <w:rFonts w:ascii="Times New Roman" w:hAnsi="Times New Roman" w:cs="Times New Roman"/>
                <w:b/>
                <w:sz w:val="21"/>
                <w:szCs w:val="21"/>
              </w:rPr>
              <w:t>推进现代建筑产业发展。</w:t>
            </w:r>
            <w:r>
              <w:rPr>
                <w:rFonts w:ascii="Times New Roman" w:hAnsi="Times New Roman" w:cs="Times New Roman"/>
                <w:bCs/>
                <w:sz w:val="21"/>
                <w:szCs w:val="21"/>
              </w:rPr>
              <w:t>把现代建筑产业打造成为沈阳市支柱产业，</w:t>
            </w:r>
            <w:r>
              <w:rPr>
                <w:rFonts w:ascii="Times New Roman" w:hAnsi="Times New Roman" w:cs="Times New Roman"/>
                <w:sz w:val="21"/>
                <w:szCs w:val="21"/>
              </w:rPr>
              <w:t>到2025年，力争现代建筑产业产值实现300亿元，培育20个以上省级装配式建筑产业基地。</w:t>
            </w:r>
          </w:p>
        </w:tc>
      </w:tr>
      <w:tr w14:paraId="02B9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4F78C17">
            <w:pPr>
              <w:pStyle w:val="44"/>
              <w:snapToGrid w:val="0"/>
              <w:spacing w:line="360" w:lineRule="auto"/>
              <w:ind w:firstLine="422"/>
              <w:rPr>
                <w:rFonts w:ascii="Times New Roman" w:hAnsi="Times New Roman" w:cs="Times New Roman"/>
                <w:b/>
                <w:sz w:val="21"/>
                <w:szCs w:val="21"/>
              </w:rPr>
            </w:pPr>
            <w:r>
              <w:rPr>
                <w:rFonts w:ascii="Times New Roman" w:hAnsi="Times New Roman" w:cs="Times New Roman"/>
                <w:b/>
                <w:sz w:val="21"/>
                <w:szCs w:val="21"/>
              </w:rPr>
              <w:t>规模化推广装配式建筑。</w:t>
            </w:r>
            <w:r>
              <w:rPr>
                <w:rFonts w:ascii="Times New Roman" w:hAnsi="Times New Roman" w:cs="Times New Roman"/>
                <w:sz w:val="21"/>
                <w:szCs w:val="21"/>
              </w:rPr>
              <w:t>到2025年，新建装配式建筑项目建筑面积占同期新建建筑面积的比例达到70%以上，装配式建筑项目全装修率达到80%以上，装配率达到50%以上。</w:t>
            </w:r>
          </w:p>
        </w:tc>
      </w:tr>
      <w:tr w14:paraId="0018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818717D">
            <w:pPr>
              <w:pStyle w:val="44"/>
              <w:snapToGrid w:val="0"/>
              <w:spacing w:line="360" w:lineRule="auto"/>
              <w:ind w:firstLine="422"/>
              <w:rPr>
                <w:rFonts w:ascii="Times New Roman" w:hAnsi="Times New Roman" w:cs="Times New Roman"/>
                <w:b/>
                <w:sz w:val="21"/>
                <w:szCs w:val="21"/>
              </w:rPr>
            </w:pPr>
            <w:r>
              <w:rPr>
                <w:rFonts w:ascii="Times New Roman" w:hAnsi="Times New Roman" w:cs="Times New Roman"/>
                <w:b/>
                <w:sz w:val="21"/>
                <w:szCs w:val="21"/>
              </w:rPr>
              <w:t>促进绿色建材产业链延伸。</w:t>
            </w:r>
            <w:r>
              <w:rPr>
                <w:rFonts w:ascii="Times New Roman" w:hAnsi="Times New Roman" w:cs="Times New Roman"/>
                <w:bCs/>
                <w:sz w:val="21"/>
                <w:szCs w:val="21"/>
              </w:rPr>
              <w:t>重点发展高性能结构及配套材料、高性能陶瓷材料、硅藻土呼吸砖等固废再利用新型环保材料、高端玻璃材料及制品等无机非金属建材原材料，开发推广适用于装配式建筑的水泥基材料及制品、节能门窗、玻璃幕墙、耐火耐候性钢材等部品化建材。</w:t>
            </w:r>
          </w:p>
        </w:tc>
      </w:tr>
    </w:tbl>
    <w:p w14:paraId="41F93B68">
      <w:pPr>
        <w:pStyle w:val="58"/>
        <w:spacing w:line="360" w:lineRule="auto"/>
        <w:ind w:firstLine="480"/>
        <w:rPr>
          <w:rFonts w:ascii="Times New Roman" w:hAnsi="Times New Roman"/>
          <w:sz w:val="24"/>
          <w:szCs w:val="24"/>
        </w:rPr>
      </w:pPr>
    </w:p>
    <w:p w14:paraId="160EA547">
      <w:pPr>
        <w:pStyle w:val="2"/>
        <w:numPr>
          <w:ilvl w:val="0"/>
          <w:numId w:val="5"/>
        </w:numPr>
        <w:ind w:left="0" w:firstLine="0"/>
        <w:rPr>
          <w:rFonts w:ascii="黑体" w:hAnsi="黑体" w:eastAsia="黑体"/>
          <w:b w:val="0"/>
          <w:bCs w:val="0"/>
          <w:sz w:val="30"/>
          <w:szCs w:val="30"/>
        </w:rPr>
      </w:pPr>
      <w:r>
        <w:rPr>
          <w:rFonts w:hint="eastAsia" w:ascii="黑体" w:hAnsi="黑体" w:eastAsia="黑体"/>
          <w:b w:val="0"/>
          <w:bCs w:val="0"/>
          <w:sz w:val="30"/>
          <w:szCs w:val="30"/>
        </w:rPr>
        <w:t>保障措施</w:t>
      </w:r>
    </w:p>
    <w:p w14:paraId="020F09F5">
      <w:pPr>
        <w:pStyle w:val="58"/>
        <w:spacing w:line="360" w:lineRule="auto"/>
        <w:ind w:firstLine="480"/>
        <w:rPr>
          <w:rFonts w:ascii="Times New Roman" w:hAnsi="Times New Roman"/>
          <w:sz w:val="24"/>
          <w:szCs w:val="24"/>
        </w:rPr>
      </w:pPr>
    </w:p>
    <w:p w14:paraId="0B06EA40">
      <w:pPr>
        <w:pStyle w:val="3"/>
        <w:ind w:left="0" w:firstLine="482"/>
        <w:rPr>
          <w:rFonts w:ascii="黑体" w:hAnsi="黑体" w:eastAsia="黑体"/>
        </w:rPr>
      </w:pPr>
      <w:bookmarkStart w:id="77" w:name="_Toc91234897"/>
      <w:r>
        <w:rPr>
          <w:rFonts w:hint="eastAsia" w:ascii="黑体" w:hAnsi="黑体" w:eastAsia="黑体"/>
        </w:rPr>
        <w:t>完善政策制度</w:t>
      </w:r>
      <w:bookmarkEnd w:id="77"/>
    </w:p>
    <w:p w14:paraId="68B50B22">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落实国家</w:t>
      </w:r>
      <w:r>
        <w:rPr>
          <w:rFonts w:ascii="Times New Roman" w:hAnsi="Times New Roman" w:cs="Times New Roman"/>
          <w:sz w:val="24"/>
          <w:szCs w:val="24"/>
        </w:rPr>
        <w:t>“</w:t>
      </w:r>
      <w:r>
        <w:rPr>
          <w:rFonts w:hint="eastAsia" w:ascii="Times New Roman" w:hAnsi="Times New Roman" w:cs="Times New Roman"/>
          <w:sz w:val="24"/>
          <w:szCs w:val="24"/>
        </w:rPr>
        <w:t>放管服</w:t>
      </w:r>
      <w:r>
        <w:rPr>
          <w:rFonts w:ascii="Times New Roman" w:hAnsi="Times New Roman" w:cs="Times New Roman"/>
          <w:sz w:val="24"/>
          <w:szCs w:val="24"/>
        </w:rPr>
        <w:t>”</w:t>
      </w:r>
      <w:r>
        <w:rPr>
          <w:rFonts w:hint="eastAsia" w:ascii="Times New Roman" w:hAnsi="Times New Roman" w:cs="Times New Roman"/>
          <w:sz w:val="24"/>
          <w:szCs w:val="24"/>
        </w:rPr>
        <w:t>改革要求，构建符合工程审批制度改革方向的新型监管机制，充分运用</w:t>
      </w:r>
      <w:r>
        <w:rPr>
          <w:rFonts w:ascii="Times New Roman" w:hAnsi="Times New Roman" w:cs="Times New Roman"/>
          <w:sz w:val="24"/>
          <w:szCs w:val="24"/>
        </w:rPr>
        <w:t>“</w:t>
      </w:r>
      <w:r>
        <w:rPr>
          <w:rFonts w:hint="eastAsia" w:ascii="Times New Roman" w:hAnsi="Times New Roman" w:cs="Times New Roman"/>
          <w:sz w:val="24"/>
          <w:szCs w:val="24"/>
        </w:rPr>
        <w:t>双随机、一公开</w:t>
      </w:r>
      <w:r>
        <w:rPr>
          <w:rFonts w:ascii="Times New Roman" w:hAnsi="Times New Roman" w:cs="Times New Roman"/>
          <w:sz w:val="24"/>
          <w:szCs w:val="24"/>
        </w:rPr>
        <w:t>”</w:t>
      </w:r>
      <w:r>
        <w:rPr>
          <w:rFonts w:hint="eastAsia" w:ascii="Times New Roman" w:hAnsi="Times New Roman" w:cs="Times New Roman"/>
          <w:sz w:val="24"/>
          <w:szCs w:val="24"/>
        </w:rPr>
        <w:t>监管方式，加强新建民用建筑项目在设计、施工、竣工验收等环节执行建筑节能与绿色建筑标准的质量监管。</w:t>
      </w:r>
    </w:p>
    <w:p w14:paraId="4D7F1552">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落实《辽宁省绿色建筑条例》，加快配套制度建设，建立健全绿色建筑评价标识管理制度、建筑能效测评评价标识制度、公共建筑运行调适等管理制度，完善绿色建筑、超低能耗建筑、装配式建筑、绿色建材的推广应用措施。补充完善全市现有建筑市场信用体系，严格落实建筑节能和绿色建筑信息公示制度、技术措施实施情况表上报制度等。</w:t>
      </w:r>
    </w:p>
    <w:p w14:paraId="2EAFE16C">
      <w:pPr>
        <w:pStyle w:val="3"/>
        <w:ind w:left="0" w:firstLine="482"/>
        <w:rPr>
          <w:rFonts w:ascii="黑体" w:hAnsi="黑体" w:eastAsia="黑体"/>
        </w:rPr>
      </w:pPr>
      <w:bookmarkStart w:id="78" w:name="_Toc91234898"/>
      <w:r>
        <w:rPr>
          <w:rFonts w:hint="eastAsia" w:ascii="黑体" w:hAnsi="黑体" w:eastAsia="黑体"/>
        </w:rPr>
        <w:t>强化激励机制</w:t>
      </w:r>
      <w:bookmarkEnd w:id="78"/>
    </w:p>
    <w:p w14:paraId="68CD640A">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结合国家、辽宁省及沈阳市最新工作需求和未来发展趋势，将建筑节能和绿色建筑作为扩大内需、拉动经济、促进消费的重要领域，制定财政奖补等激励政策，支持超低能耗建筑、绿色建筑、绿色生态城区、既有建筑节能绿色改造、装配式建筑、可再生能源建筑应用、绿色建材应用等项目建设。</w:t>
      </w:r>
    </w:p>
    <w:p w14:paraId="4ABBD87C">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结合沈阳市实际，在符合房地产调控政策要求前提下，实行各类建筑绿色发展项目扶持政策，包括但不限于用地优先保障、容积率奖励、商品房备案价格上浮、商品房提前预售等扶持政策。</w:t>
      </w:r>
    </w:p>
    <w:p w14:paraId="41ADEFE2">
      <w:pPr>
        <w:pStyle w:val="3"/>
        <w:ind w:left="0" w:firstLine="482"/>
        <w:rPr>
          <w:rFonts w:ascii="黑体" w:hAnsi="黑体" w:eastAsia="黑体"/>
        </w:rPr>
      </w:pPr>
      <w:bookmarkStart w:id="79" w:name="_Toc91234899"/>
      <w:r>
        <w:rPr>
          <w:rFonts w:hint="eastAsia" w:ascii="黑体" w:hAnsi="黑体" w:eastAsia="黑体"/>
        </w:rPr>
        <w:t>推动科技创新</w:t>
      </w:r>
      <w:bookmarkEnd w:id="79"/>
    </w:p>
    <w:p w14:paraId="0A73A80F">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结合沈阳市绿色发展科技专项，加大政府科技投入，引导社会资金开展建筑节能与绿色建筑发展科技创新。构建市场导向的绿色建筑技术创新体系，加强适合严寒地区的外墙保温体系、可再生能源与建筑一体化技术、智能化运维技术、装配化装修技术等高效节能绿色建筑技术的研究。推动区域制造业创新中心以及国内领先的绿色建筑技术研发基地建设，大力引进、支持、培育龙头企业，引导企业加大对研发的投入，推动相关产业向价值链、创新链中高端转移。</w:t>
      </w:r>
    </w:p>
    <w:p w14:paraId="63389AC4">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加强建设科技成果研究、应用和转化，利用技术公告和技术目录等制度，推广成熟可靠、经济适用、对技术进步有显著促进作用的建筑节能和绿色建筑技术、产品，定期向社会发布先进技术和典型应用案例，推动科技成果与产业转型、市场需求有效衔接。</w:t>
      </w:r>
    </w:p>
    <w:p w14:paraId="655C4CF6">
      <w:pPr>
        <w:pStyle w:val="3"/>
        <w:ind w:left="0" w:firstLine="482"/>
        <w:rPr>
          <w:rFonts w:ascii="黑体" w:hAnsi="黑体" w:eastAsia="黑体"/>
        </w:rPr>
      </w:pPr>
      <w:bookmarkStart w:id="80" w:name="_Toc91234900"/>
      <w:r>
        <w:rPr>
          <w:rFonts w:hint="eastAsia" w:ascii="黑体" w:hAnsi="黑体" w:eastAsia="黑体"/>
        </w:rPr>
        <w:t>深化数据应用</w:t>
      </w:r>
      <w:bookmarkEnd w:id="80"/>
    </w:p>
    <w:p w14:paraId="024DBDB9">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严格执行民用建筑能源资源消耗统计工作，建立规范的统计数据填报和审核机制，进一步提高统计数据的准确性、适用性和可靠性。加强建筑能耗基础数据的应用。加强与供水、供电、供气、供热等相关行业开展信息共享和系统应用，通过对城镇和农村民用建筑能耗数据的采集、分析和研究，挖掘数据应用价值，为民用建筑节能管理和决策提供数据基础，逐步为全社会提供能耗信息共享服务，促进建筑节能工作从过程措施管理向目标管理转变。</w:t>
      </w:r>
    </w:p>
    <w:p w14:paraId="3A062DC7">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推动公共建筑节能监管体系建设与应用，完善沈阳市建筑能耗监管平台，加强能耗监测数据分析应用，分类制定完善各类型公共建筑能耗限额，率先在公共机构领域推动实施能耗限额或定额。依托能耗统计、能源审计、能耗监测等数据信息建立和完善面向政府、建筑业主、金融机构等相关方的公共建筑能耗信息服务平台。</w:t>
      </w:r>
    </w:p>
    <w:p w14:paraId="6D6AF58D">
      <w:pPr>
        <w:pStyle w:val="3"/>
        <w:ind w:left="0" w:firstLine="482"/>
        <w:rPr>
          <w:rFonts w:ascii="黑体" w:hAnsi="黑体" w:eastAsia="黑体"/>
        </w:rPr>
      </w:pPr>
      <w:bookmarkStart w:id="81" w:name="_Toc91234901"/>
      <w:r>
        <w:rPr>
          <w:rFonts w:hint="eastAsia" w:ascii="黑体" w:hAnsi="黑体" w:eastAsia="黑体"/>
        </w:rPr>
        <w:t>优化市场环境</w:t>
      </w:r>
      <w:bookmarkEnd w:id="81"/>
    </w:p>
    <w:p w14:paraId="7377632D">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推进诚信体系建设，加强建筑节能和绿色建筑领域信用管理，落实项目规划、设计、建设、施工、监理等参建各方的主体责任，建立健全信用评价和奖惩机制，对建筑市场有关单位基本信息、优良及不良信息进行认定、收集、公开及使用，营造公平竞争、诚信守法的市场环境。</w:t>
      </w:r>
    </w:p>
    <w:p w14:paraId="0D5494CF">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建立和完善对高星级绿色建筑、超低能耗建筑、低碳及零碳建筑、建筑绿色化改造、可再生能源建筑应用的市场化推动机制，鼓励采用政府和社会资本合作（</w:t>
      </w:r>
      <w:r>
        <w:rPr>
          <w:rFonts w:ascii="Times New Roman" w:hAnsi="Times New Roman" w:cs="Times New Roman"/>
          <w:sz w:val="24"/>
          <w:szCs w:val="24"/>
        </w:rPr>
        <w:t>PPP</w:t>
      </w:r>
      <w:r>
        <w:rPr>
          <w:rFonts w:hint="eastAsia" w:ascii="Times New Roman" w:hAnsi="Times New Roman" w:cs="Times New Roman"/>
          <w:sz w:val="24"/>
          <w:szCs w:val="24"/>
        </w:rPr>
        <w:t>）、合同能源管理等模式，吸引社会资本参与。探索绿色金融在建筑节能和绿色金融的发展应用，以信贷融资为触发动力、以保险为保障增信手段、以第三方机构为全过程技术服务，建立建筑产品、绿色保险、绿色信贷三者互融互通的创新模式，打造一批绿色金融试点示范项目。</w:t>
      </w:r>
    </w:p>
    <w:p w14:paraId="1BDAD91D">
      <w:pPr>
        <w:pStyle w:val="3"/>
        <w:ind w:left="0" w:firstLine="482"/>
        <w:rPr>
          <w:rFonts w:ascii="黑体" w:hAnsi="黑体" w:eastAsia="黑体"/>
        </w:rPr>
      </w:pPr>
      <w:bookmarkStart w:id="82" w:name="_Toc91234902"/>
      <w:r>
        <w:rPr>
          <w:rFonts w:hint="eastAsia" w:ascii="黑体" w:hAnsi="黑体" w:eastAsia="黑体"/>
        </w:rPr>
        <w:t>加强人才培养</w:t>
      </w:r>
      <w:bookmarkEnd w:id="82"/>
    </w:p>
    <w:p w14:paraId="654E00C6">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积极探索和建立人才引进培养机制，通过</w:t>
      </w:r>
      <w:r>
        <w:rPr>
          <w:rFonts w:ascii="Times New Roman" w:hAnsi="Times New Roman" w:cs="Times New Roman"/>
          <w:sz w:val="24"/>
          <w:szCs w:val="24"/>
        </w:rPr>
        <w:t>“</w:t>
      </w:r>
      <w:r>
        <w:rPr>
          <w:rFonts w:hint="eastAsia" w:ascii="Times New Roman" w:hAnsi="Times New Roman" w:cs="Times New Roman"/>
          <w:sz w:val="24"/>
          <w:szCs w:val="24"/>
        </w:rPr>
        <w:t>兴辽英才计划</w:t>
      </w:r>
      <w:r>
        <w:rPr>
          <w:rFonts w:ascii="Times New Roman" w:hAnsi="Times New Roman" w:cs="Times New Roman"/>
          <w:sz w:val="24"/>
          <w:szCs w:val="24"/>
        </w:rPr>
        <w:t>”</w:t>
      </w:r>
      <w:r>
        <w:rPr>
          <w:rFonts w:hint="eastAsia" w:ascii="Times New Roman" w:hAnsi="Times New Roman" w:cs="Times New Roman"/>
          <w:sz w:val="24"/>
          <w:szCs w:val="24"/>
        </w:rPr>
        <w:t>等引进一批高素质人才队伍，加强高层次管理人才、技术人员、产业工人的培养。加强建筑节能和绿色建筑规划、设计、施工、咨询、运维等机构从业人员服务能力建设，加强新型建筑工业化技能人才的培训，逐步完善装配式建筑产业工人职业能力培训和考核体系，开展装配式建筑关键岗位持证上岗制度探索研究，促进有一定专业技能水平的建筑工人向有素质的产业工人转变。</w:t>
      </w:r>
    </w:p>
    <w:p w14:paraId="49A9DF41">
      <w:pPr>
        <w:pStyle w:val="58"/>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搭建产学研用一体化合作平台，发挥省会高校、科研院所集聚优势，建立建筑节能和绿色建筑高质量发展专家智库；推动建筑节能咨询产业的发展，引导第三方检测、节能审核评价及建筑能耗测评机构服务能力与质量提升。</w:t>
      </w:r>
    </w:p>
    <w:p w14:paraId="5258D98D">
      <w:pPr>
        <w:pStyle w:val="58"/>
        <w:spacing w:line="360" w:lineRule="auto"/>
        <w:ind w:firstLine="480"/>
        <w:rPr>
          <w:rFonts w:ascii="Times New Roman" w:hAnsi="Times New Roman" w:cs="Times New Roman"/>
          <w:sz w:val="24"/>
          <w:szCs w:val="24"/>
        </w:rPr>
      </w:pPr>
    </w:p>
    <w:p w14:paraId="0BE234BD">
      <w:pPr>
        <w:pStyle w:val="2"/>
        <w:numPr>
          <w:ilvl w:val="0"/>
          <w:numId w:val="5"/>
        </w:numPr>
        <w:ind w:left="0" w:firstLine="0"/>
        <w:rPr>
          <w:rFonts w:ascii="黑体" w:hAnsi="黑体" w:eastAsia="黑体"/>
          <w:b w:val="0"/>
          <w:bCs w:val="0"/>
          <w:sz w:val="30"/>
          <w:szCs w:val="30"/>
        </w:rPr>
      </w:pPr>
      <w:bookmarkStart w:id="83" w:name="_Toc75543108"/>
      <w:bookmarkStart w:id="84" w:name="_Toc76743862"/>
      <w:r>
        <w:rPr>
          <w:rFonts w:ascii="黑体" w:hAnsi="黑体" w:eastAsia="黑体"/>
          <w:b w:val="0"/>
          <w:bCs w:val="0"/>
          <w:sz w:val="30"/>
          <w:szCs w:val="30"/>
        </w:rPr>
        <w:t>规划实施</w:t>
      </w:r>
      <w:bookmarkEnd w:id="83"/>
      <w:bookmarkEnd w:id="84"/>
    </w:p>
    <w:p w14:paraId="5FC74488">
      <w:pPr>
        <w:pStyle w:val="44"/>
        <w:ind w:left="280"/>
        <w:rPr>
          <w:rFonts w:ascii="Times New Roman" w:hAnsi="Times New Roman" w:cs="Times New Roman"/>
        </w:rPr>
      </w:pPr>
    </w:p>
    <w:p w14:paraId="1284F660">
      <w:pPr>
        <w:pStyle w:val="3"/>
        <w:ind w:left="0" w:firstLine="482"/>
        <w:rPr>
          <w:rFonts w:ascii="黑体" w:hAnsi="黑体" w:eastAsia="黑体"/>
        </w:rPr>
      </w:pPr>
      <w:bookmarkStart w:id="85" w:name="_Toc91234904"/>
      <w:r>
        <w:rPr>
          <w:rFonts w:hint="eastAsia" w:ascii="黑体" w:hAnsi="黑体" w:eastAsia="黑体"/>
        </w:rPr>
        <w:t>加强组织领导</w:t>
      </w:r>
      <w:bookmarkEnd w:id="85"/>
    </w:p>
    <w:p w14:paraId="78311A09">
      <w:pPr>
        <w:spacing w:before="156" w:beforeLines="50" w:line="360" w:lineRule="auto"/>
      </w:pPr>
      <w:r>
        <w:rPr>
          <w:rFonts w:hint="eastAsia"/>
        </w:rPr>
        <w:t>围绕绿色建筑高质量发展的总体目标，建立建筑节能与绿色建筑工作领导小组，健全组织领导机制，完善配套措施，密切配合协作，形成上下联动、齐抓共管的工作格局。梳理跨部门协同的重点监管事项清单，明确部门主体责任，研究建立有效的联动工作机制，按照各自职责分工，加强部门协调、整合各方资源、统筹推进建筑绿色发展工作。</w:t>
      </w:r>
    </w:p>
    <w:p w14:paraId="395EF0EA">
      <w:pPr>
        <w:spacing w:before="156" w:beforeLines="50" w:line="360" w:lineRule="auto"/>
      </w:pPr>
      <w:r>
        <w:rPr>
          <w:rFonts w:hint="eastAsia"/>
        </w:rPr>
        <w:t>加强各区工作机构和人员配置，压实属地责任，按照本规划编制本区建筑绿色发展工作计划，分解工作任务，落实目标责任。同时，充分发挥人大依法监督、政协民主监督的作用，形成全市建筑绿色发展工作齐抓共管的工作格局。</w:t>
      </w:r>
    </w:p>
    <w:p w14:paraId="5F1B8F42">
      <w:pPr>
        <w:pStyle w:val="3"/>
        <w:ind w:left="0" w:firstLine="482"/>
        <w:rPr>
          <w:rFonts w:ascii="黑体" w:hAnsi="黑体" w:eastAsia="黑体"/>
        </w:rPr>
      </w:pPr>
      <w:bookmarkStart w:id="86" w:name="_Toc91234905"/>
      <w:r>
        <w:rPr>
          <w:rFonts w:hint="eastAsia" w:ascii="黑体" w:hAnsi="黑体" w:eastAsia="黑体"/>
        </w:rPr>
        <w:t>严格绩效考核</w:t>
      </w:r>
      <w:bookmarkEnd w:id="86"/>
    </w:p>
    <w:p w14:paraId="3E286B05">
      <w:pPr>
        <w:spacing w:before="156" w:beforeLines="50" w:line="360" w:lineRule="auto"/>
      </w:pPr>
      <w:r>
        <w:rPr>
          <w:rFonts w:hint="eastAsia"/>
        </w:rPr>
        <w:t>制定和完善建筑节能和绿色建筑工作绩效评价考核体系，逐步增加其在考核体系中的权重，使其作为评价政府和部门绩效的重要依据。将建筑节能和绿色建筑发展落实到各个区县有关部门，明确各区县负责人，并将目标任务的完成情况纳入考核体系。定期对各区县建筑节能和绿色建筑发展规划目标任务落实情况进行检查，检查结果及时向社会公开，充分发挥舆论监督作用。协调有关部门将部分规划目标纳入中央生态文明建设、能源消费总量和强度控制、控制温室气体排放、推动城乡建设绿色发展监督检查等考核评价内容。</w:t>
      </w:r>
    </w:p>
    <w:p w14:paraId="145B85D9">
      <w:pPr>
        <w:pStyle w:val="3"/>
        <w:ind w:left="0" w:firstLine="482"/>
        <w:rPr>
          <w:rFonts w:ascii="黑体" w:hAnsi="黑体" w:eastAsia="黑体"/>
        </w:rPr>
      </w:pPr>
      <w:bookmarkStart w:id="87" w:name="_Toc91234906"/>
      <w:r>
        <w:rPr>
          <w:rFonts w:hint="eastAsia" w:ascii="黑体" w:hAnsi="黑体" w:eastAsia="黑体"/>
        </w:rPr>
        <w:t>做好宣传推广</w:t>
      </w:r>
      <w:bookmarkEnd w:id="87"/>
    </w:p>
    <w:p w14:paraId="106915AE">
      <w:pPr>
        <w:spacing w:before="156" w:beforeLines="50" w:line="360" w:lineRule="auto"/>
      </w:pPr>
      <w:r>
        <w:rPr>
          <w:rFonts w:hint="eastAsia"/>
        </w:rPr>
        <w:t>充分发挥各种宣传方式的作用，开展形式多样的建筑绿色发展宣传活动，运用电视、广播、报纸等传统媒体和基于互联网的新兴媒体相结合的传播方式，广泛开展面向公众的绿色建筑相关新闻宣传、政策解读和教育普及。</w:t>
      </w:r>
    </w:p>
    <w:p w14:paraId="35CD4AC5">
      <w:pPr>
        <w:spacing w:before="156" w:beforeLines="50" w:line="360" w:lineRule="auto"/>
      </w:pPr>
      <w:r>
        <w:rPr>
          <w:rFonts w:hint="eastAsia"/>
        </w:rPr>
        <w:t>将建筑绿色发展纳入</w:t>
      </w:r>
      <w:r>
        <w:t>“</w:t>
      </w:r>
      <w:r>
        <w:rPr>
          <w:rFonts w:hint="eastAsia"/>
        </w:rPr>
        <w:t>节能宣传周</w:t>
      </w:r>
      <w:r>
        <w:t>”</w:t>
      </w:r>
      <w:r>
        <w:rPr>
          <w:rFonts w:hint="eastAsia"/>
        </w:rPr>
        <w:t>等重大宣传活动，引导小区居民做绿色低碳生活的践行者，引导居民高效低碳用好各类绿色设施，营造绿色发展生活氛围。倡导简约适度、绿色低碳的生活方式，提高市民</w:t>
      </w:r>
      <w:r>
        <w:t>“</w:t>
      </w:r>
      <w:r>
        <w:rPr>
          <w:rFonts w:hint="eastAsia"/>
        </w:rPr>
        <w:t>绿色</w:t>
      </w:r>
      <w:r>
        <w:t>”</w:t>
      </w:r>
      <w:r>
        <w:rPr>
          <w:rFonts w:hint="eastAsia"/>
        </w:rPr>
        <w:t>意识，营造全社会主动参与的良好氛围。</w:t>
      </w:r>
    </w:p>
    <w:p w14:paraId="41B78AE7">
      <w:pPr>
        <w:pStyle w:val="44"/>
        <w:ind w:left="280"/>
        <w:rPr>
          <w:rFonts w:ascii="Times New Roman" w:hAnsi="Times New Roman" w:cs="Times New Roman"/>
        </w:rPr>
      </w:pPr>
    </w:p>
    <w:p w14:paraId="2FC007B4">
      <w:pPr>
        <w:ind w:firstLine="0" w:firstLineChars="0"/>
      </w:pPr>
    </w:p>
    <w:p w14:paraId="6586C3F7">
      <w:pPr>
        <w:pStyle w:val="2"/>
        <w:numPr>
          <w:ilvl w:val="0"/>
          <w:numId w:val="5"/>
        </w:numPr>
        <w:ind w:left="0" w:firstLine="0"/>
        <w:rPr>
          <w:rFonts w:ascii="黑体" w:hAnsi="黑体" w:eastAsia="黑体"/>
          <w:b w:val="0"/>
          <w:bCs w:val="0"/>
          <w:sz w:val="30"/>
          <w:szCs w:val="30"/>
        </w:rPr>
      </w:pPr>
      <w:bookmarkStart w:id="88" w:name="_Toc76743866"/>
      <w:r>
        <w:rPr>
          <w:rFonts w:hint="eastAsia" w:ascii="黑体" w:hAnsi="黑体" w:eastAsia="黑体"/>
          <w:b w:val="0"/>
          <w:bCs w:val="0"/>
          <w:sz w:val="30"/>
          <w:szCs w:val="30"/>
        </w:rPr>
        <w:t>附录</w:t>
      </w:r>
      <w:bookmarkEnd w:id="88"/>
    </w:p>
    <w:bookmarkEnd w:id="10"/>
    <w:bookmarkEnd w:id="11"/>
    <w:p w14:paraId="741EB7A9">
      <w:pPr>
        <w:pStyle w:val="40"/>
      </w:pPr>
      <w:bookmarkStart w:id="89" w:name="_Toc76743867"/>
      <w:r>
        <w:rPr>
          <w:rFonts w:hint="eastAsia"/>
        </w:rPr>
        <w:t>附件一</w:t>
      </w:r>
      <w:r>
        <w:t xml:space="preserve"> </w:t>
      </w:r>
      <w:r>
        <w:rPr>
          <w:rFonts w:hint="eastAsia"/>
        </w:rPr>
        <w:t>沈阳市建筑节能与绿色建筑</w:t>
      </w:r>
      <w:r>
        <w:rPr>
          <w:rFonts w:hint="eastAsia"/>
          <w:lang w:eastAsia="zh-CN"/>
        </w:rPr>
        <w:t>“十四五”规划</w:t>
      </w:r>
      <w:r>
        <w:rPr>
          <w:rFonts w:hint="eastAsia"/>
        </w:rPr>
        <w:t>调研问卷</w:t>
      </w:r>
      <w:bookmarkEnd w:id="89"/>
    </w:p>
    <w:p w14:paraId="1E945976">
      <w:pPr>
        <w:ind w:firstLine="640"/>
        <w:jc w:val="center"/>
        <w:rPr>
          <w:rFonts w:ascii="黑体" w:hAnsi="黑体" w:eastAsia="黑体"/>
          <w:sz w:val="32"/>
          <w:szCs w:val="32"/>
        </w:rPr>
      </w:pPr>
    </w:p>
    <w:p w14:paraId="05B379B4">
      <w:pPr>
        <w:spacing w:line="480" w:lineRule="exact"/>
        <w:rPr>
          <w:szCs w:val="21"/>
        </w:rPr>
      </w:pPr>
      <w:r>
        <w:rPr>
          <w:rFonts w:hint="eastAsia"/>
          <w:szCs w:val="21"/>
        </w:rPr>
        <w:t>所属区县：_</w:t>
      </w:r>
      <w:r>
        <w:rPr>
          <w:szCs w:val="21"/>
        </w:rPr>
        <w:t>____________________</w:t>
      </w:r>
    </w:p>
    <w:p w14:paraId="384B3095">
      <w:pPr>
        <w:spacing w:line="480" w:lineRule="exact"/>
        <w:rPr>
          <w:szCs w:val="21"/>
        </w:rPr>
      </w:pPr>
      <w:r>
        <w:rPr>
          <w:rFonts w:hint="eastAsia"/>
          <w:szCs w:val="21"/>
        </w:rPr>
        <w:t>根据国家和辽宁省建筑节能与绿色建筑发展方向，结合沈阳市“十三五”工作成效，完成了沈阳市“十四五”建筑节能与绿色建筑发展规划的初稿。为了保障规划既能符合国家发展方向，谋划建筑领域碳达峰碳中和目标，同时又能符合沈阳市各区县发展实际，促进规划的可行性、可落实。现就以下内容进行调研：</w:t>
      </w:r>
    </w:p>
    <w:p w14:paraId="2D4CB212">
      <w:pPr>
        <w:spacing w:line="480" w:lineRule="exact"/>
        <w:ind w:firstLine="482"/>
        <w:rPr>
          <w:rFonts w:ascii="楷体" w:hAnsi="楷体" w:eastAsia="楷体"/>
          <w:b/>
          <w:bCs/>
          <w:szCs w:val="21"/>
        </w:rPr>
      </w:pPr>
      <w:r>
        <w:rPr>
          <w:rFonts w:hint="eastAsia" w:ascii="楷体" w:hAnsi="楷体" w:eastAsia="楷体"/>
          <w:b/>
          <w:bCs/>
          <w:szCs w:val="21"/>
        </w:rPr>
        <w:t>一、对规划目标的判断</w:t>
      </w:r>
    </w:p>
    <w:p w14:paraId="616637C4">
      <w:pPr>
        <w:spacing w:line="480" w:lineRule="exact"/>
      </w:pPr>
      <w:r>
        <w:rPr>
          <w:rFonts w:hint="eastAsia"/>
        </w:rPr>
        <w:t>为了保障国家2030年碳达峰行动目标，建筑领域正在组织研究建筑领域2030年碳达峰行动方案，部署十四五、十五五建筑碳减排目标。为此，结合沈阳市实际情况，初步研究提出了“十四五”沈阳市建筑能源消费总量和碳排放目标，规划拟设置下列指标，请判断指标的合理性：</w:t>
      </w:r>
    </w:p>
    <w:tbl>
      <w:tblPr>
        <w:tblStyle w:val="21"/>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1"/>
        <w:gridCol w:w="803"/>
        <w:gridCol w:w="998"/>
        <w:gridCol w:w="1875"/>
        <w:gridCol w:w="2601"/>
      </w:tblGrid>
      <w:tr w14:paraId="2B07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65" w:type="pct"/>
            <w:shd w:val="clear" w:color="auto" w:fill="DEEAF6" w:themeFill="accent5" w:themeFillTint="33"/>
            <w:vAlign w:val="center"/>
          </w:tcPr>
          <w:p w14:paraId="44D5B730">
            <w:pPr>
              <w:pStyle w:val="40"/>
            </w:pPr>
            <w:bookmarkStart w:id="90" w:name="_Hlk78895621"/>
            <w:r>
              <w:t>拟设置主要指标</w:t>
            </w:r>
          </w:p>
        </w:tc>
        <w:tc>
          <w:tcPr>
            <w:tcW w:w="452" w:type="pct"/>
            <w:shd w:val="clear" w:color="auto" w:fill="DEEAF6" w:themeFill="accent5" w:themeFillTint="33"/>
            <w:vAlign w:val="center"/>
          </w:tcPr>
          <w:p w14:paraId="178E03C0">
            <w:pPr>
              <w:pStyle w:val="40"/>
            </w:pPr>
            <w:r>
              <w:t>2025</w:t>
            </w:r>
          </w:p>
        </w:tc>
        <w:tc>
          <w:tcPr>
            <w:tcW w:w="562" w:type="pct"/>
            <w:shd w:val="clear" w:color="auto" w:fill="DEEAF6" w:themeFill="accent5" w:themeFillTint="33"/>
            <w:vAlign w:val="center"/>
          </w:tcPr>
          <w:p w14:paraId="19F4AD9A">
            <w:pPr>
              <w:pStyle w:val="40"/>
            </w:pPr>
            <w:r>
              <w:t>性质</w:t>
            </w:r>
          </w:p>
        </w:tc>
        <w:tc>
          <w:tcPr>
            <w:tcW w:w="1056" w:type="pct"/>
            <w:shd w:val="clear" w:color="auto" w:fill="DEEAF6" w:themeFill="accent5" w:themeFillTint="33"/>
            <w:vAlign w:val="center"/>
          </w:tcPr>
          <w:p w14:paraId="1EF5B078">
            <w:pPr>
              <w:pStyle w:val="40"/>
            </w:pPr>
            <w:r>
              <w:rPr>
                <w:rFonts w:hint="eastAsia"/>
              </w:rPr>
              <w:t>合理性（打√）</w:t>
            </w:r>
          </w:p>
        </w:tc>
        <w:tc>
          <w:tcPr>
            <w:tcW w:w="1465" w:type="pct"/>
            <w:shd w:val="clear" w:color="auto" w:fill="DEEAF6" w:themeFill="accent5" w:themeFillTint="33"/>
            <w:vAlign w:val="center"/>
          </w:tcPr>
          <w:p w14:paraId="23958FCC">
            <w:pPr>
              <w:pStyle w:val="40"/>
            </w:pPr>
            <w:r>
              <w:t>对本目标的意见和建议</w:t>
            </w:r>
          </w:p>
        </w:tc>
      </w:tr>
      <w:bookmarkEnd w:id="90"/>
      <w:tr w14:paraId="2808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pct"/>
            <w:vAlign w:val="center"/>
          </w:tcPr>
          <w:p w14:paraId="4A75E0C7">
            <w:pPr>
              <w:pStyle w:val="40"/>
            </w:pPr>
            <w:r>
              <w:t>城镇绿色建筑占新建建筑比重（%）</w:t>
            </w:r>
          </w:p>
        </w:tc>
        <w:tc>
          <w:tcPr>
            <w:tcW w:w="452" w:type="pct"/>
            <w:vAlign w:val="center"/>
          </w:tcPr>
          <w:p w14:paraId="7648976D">
            <w:pPr>
              <w:pStyle w:val="40"/>
            </w:pPr>
            <w:r>
              <w:t>100</w:t>
            </w:r>
          </w:p>
        </w:tc>
        <w:tc>
          <w:tcPr>
            <w:tcW w:w="562" w:type="pct"/>
            <w:vAlign w:val="center"/>
          </w:tcPr>
          <w:p w14:paraId="1D93841C">
            <w:pPr>
              <w:pStyle w:val="40"/>
            </w:pPr>
            <w:r>
              <w:t>约束性</w:t>
            </w:r>
          </w:p>
        </w:tc>
        <w:tc>
          <w:tcPr>
            <w:tcW w:w="1056" w:type="pct"/>
            <w:vAlign w:val="center"/>
          </w:tcPr>
          <w:p w14:paraId="0C683B9C">
            <w:pPr>
              <w:pStyle w:val="40"/>
            </w:pPr>
          </w:p>
        </w:tc>
        <w:tc>
          <w:tcPr>
            <w:tcW w:w="1465" w:type="pct"/>
            <w:vAlign w:val="center"/>
          </w:tcPr>
          <w:p w14:paraId="455B28EC">
            <w:pPr>
              <w:pStyle w:val="40"/>
            </w:pPr>
          </w:p>
        </w:tc>
      </w:tr>
      <w:tr w14:paraId="7338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pct"/>
            <w:vAlign w:val="center"/>
          </w:tcPr>
          <w:p w14:paraId="0574EA21">
            <w:pPr>
              <w:pStyle w:val="40"/>
            </w:pPr>
            <w:r>
              <w:t>城镇新建建筑中装配式建筑比例（%）</w:t>
            </w:r>
          </w:p>
        </w:tc>
        <w:tc>
          <w:tcPr>
            <w:tcW w:w="452" w:type="pct"/>
            <w:vAlign w:val="center"/>
          </w:tcPr>
          <w:p w14:paraId="75AD87D4">
            <w:pPr>
              <w:pStyle w:val="40"/>
            </w:pPr>
            <w:r>
              <w:t>75</w:t>
            </w:r>
          </w:p>
        </w:tc>
        <w:tc>
          <w:tcPr>
            <w:tcW w:w="562" w:type="pct"/>
            <w:vAlign w:val="center"/>
          </w:tcPr>
          <w:p w14:paraId="6804906D">
            <w:pPr>
              <w:pStyle w:val="40"/>
            </w:pPr>
            <w:r>
              <w:t>约束性</w:t>
            </w:r>
          </w:p>
        </w:tc>
        <w:tc>
          <w:tcPr>
            <w:tcW w:w="1056" w:type="pct"/>
            <w:vAlign w:val="center"/>
          </w:tcPr>
          <w:p w14:paraId="5F0C74C3">
            <w:pPr>
              <w:pStyle w:val="40"/>
            </w:pPr>
          </w:p>
        </w:tc>
        <w:tc>
          <w:tcPr>
            <w:tcW w:w="1465" w:type="pct"/>
            <w:vAlign w:val="center"/>
          </w:tcPr>
          <w:p w14:paraId="7A6BF62D">
            <w:pPr>
              <w:pStyle w:val="40"/>
            </w:pPr>
          </w:p>
        </w:tc>
      </w:tr>
      <w:tr w14:paraId="55BD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pct"/>
            <w:vAlign w:val="center"/>
          </w:tcPr>
          <w:p w14:paraId="799DE1FF">
            <w:pPr>
              <w:pStyle w:val="40"/>
            </w:pPr>
            <w:r>
              <w:t>既有建筑节能改造面积（万平方米）</w:t>
            </w:r>
          </w:p>
        </w:tc>
        <w:tc>
          <w:tcPr>
            <w:tcW w:w="452" w:type="pct"/>
            <w:vAlign w:val="center"/>
          </w:tcPr>
          <w:p w14:paraId="1A8B0BCE">
            <w:pPr>
              <w:pStyle w:val="40"/>
            </w:pPr>
            <w:r>
              <w:t>3000</w:t>
            </w:r>
          </w:p>
        </w:tc>
        <w:tc>
          <w:tcPr>
            <w:tcW w:w="562" w:type="pct"/>
            <w:vAlign w:val="center"/>
          </w:tcPr>
          <w:p w14:paraId="5601C49A">
            <w:pPr>
              <w:pStyle w:val="40"/>
            </w:pPr>
            <w:r>
              <w:t>预期性</w:t>
            </w:r>
          </w:p>
        </w:tc>
        <w:tc>
          <w:tcPr>
            <w:tcW w:w="1056" w:type="pct"/>
            <w:vAlign w:val="center"/>
          </w:tcPr>
          <w:p w14:paraId="3A10E4F7">
            <w:pPr>
              <w:pStyle w:val="40"/>
            </w:pPr>
          </w:p>
        </w:tc>
        <w:tc>
          <w:tcPr>
            <w:tcW w:w="1465" w:type="pct"/>
            <w:vAlign w:val="center"/>
          </w:tcPr>
          <w:p w14:paraId="56D91876">
            <w:pPr>
              <w:pStyle w:val="40"/>
            </w:pPr>
          </w:p>
        </w:tc>
      </w:tr>
      <w:tr w14:paraId="4975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pct"/>
            <w:vAlign w:val="center"/>
          </w:tcPr>
          <w:p w14:paraId="3B034F00">
            <w:pPr>
              <w:pStyle w:val="40"/>
            </w:pPr>
            <w:r>
              <w:t>绿色生态城区建设面积/示范个数</w:t>
            </w:r>
          </w:p>
        </w:tc>
        <w:tc>
          <w:tcPr>
            <w:tcW w:w="452" w:type="pct"/>
            <w:vAlign w:val="center"/>
          </w:tcPr>
          <w:p w14:paraId="14B34CE6">
            <w:pPr>
              <w:pStyle w:val="40"/>
            </w:pPr>
            <w:r>
              <w:t>2</w:t>
            </w:r>
          </w:p>
        </w:tc>
        <w:tc>
          <w:tcPr>
            <w:tcW w:w="562" w:type="pct"/>
            <w:vAlign w:val="center"/>
          </w:tcPr>
          <w:p w14:paraId="0D7F73BD">
            <w:pPr>
              <w:pStyle w:val="40"/>
            </w:pPr>
            <w:r>
              <w:t>预期性</w:t>
            </w:r>
          </w:p>
        </w:tc>
        <w:tc>
          <w:tcPr>
            <w:tcW w:w="1056" w:type="pct"/>
            <w:vAlign w:val="center"/>
          </w:tcPr>
          <w:p w14:paraId="6E206A38">
            <w:pPr>
              <w:pStyle w:val="40"/>
            </w:pPr>
          </w:p>
        </w:tc>
        <w:tc>
          <w:tcPr>
            <w:tcW w:w="1465" w:type="pct"/>
            <w:vAlign w:val="center"/>
          </w:tcPr>
          <w:p w14:paraId="2790196A">
            <w:pPr>
              <w:pStyle w:val="40"/>
            </w:pPr>
          </w:p>
        </w:tc>
      </w:tr>
      <w:tr w14:paraId="4717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pct"/>
            <w:shd w:val="clear" w:color="auto" w:fill="auto"/>
            <w:vAlign w:val="center"/>
          </w:tcPr>
          <w:p w14:paraId="1B8B2DF9">
            <w:pPr>
              <w:pStyle w:val="40"/>
            </w:pPr>
            <w:r>
              <w:t>建筑领域能源消费总量（万吨标准煤）</w:t>
            </w:r>
          </w:p>
        </w:tc>
        <w:tc>
          <w:tcPr>
            <w:tcW w:w="452" w:type="pct"/>
            <w:vAlign w:val="center"/>
          </w:tcPr>
          <w:p w14:paraId="203721D2">
            <w:pPr>
              <w:pStyle w:val="40"/>
            </w:pPr>
            <w:r>
              <w:t>1300</w:t>
            </w:r>
          </w:p>
        </w:tc>
        <w:tc>
          <w:tcPr>
            <w:tcW w:w="562" w:type="pct"/>
            <w:vAlign w:val="center"/>
          </w:tcPr>
          <w:p w14:paraId="4F63573F">
            <w:pPr>
              <w:pStyle w:val="40"/>
            </w:pPr>
            <w:r>
              <w:t>预期性</w:t>
            </w:r>
          </w:p>
        </w:tc>
        <w:tc>
          <w:tcPr>
            <w:tcW w:w="1056" w:type="pct"/>
            <w:vAlign w:val="center"/>
          </w:tcPr>
          <w:p w14:paraId="1C644CDC">
            <w:pPr>
              <w:pStyle w:val="40"/>
            </w:pPr>
          </w:p>
        </w:tc>
        <w:tc>
          <w:tcPr>
            <w:tcW w:w="1465" w:type="pct"/>
            <w:vAlign w:val="center"/>
          </w:tcPr>
          <w:p w14:paraId="1263E051">
            <w:pPr>
              <w:pStyle w:val="40"/>
            </w:pPr>
          </w:p>
        </w:tc>
      </w:tr>
      <w:tr w14:paraId="1DD2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pct"/>
            <w:shd w:val="clear" w:color="auto" w:fill="auto"/>
            <w:vAlign w:val="center"/>
          </w:tcPr>
          <w:p w14:paraId="79CEAC75">
            <w:pPr>
              <w:pStyle w:val="40"/>
            </w:pPr>
            <w:r>
              <w:t>建筑领域碳排放总量（万吨）</w:t>
            </w:r>
          </w:p>
        </w:tc>
        <w:tc>
          <w:tcPr>
            <w:tcW w:w="452" w:type="pct"/>
            <w:vAlign w:val="center"/>
          </w:tcPr>
          <w:p w14:paraId="488592B5">
            <w:pPr>
              <w:pStyle w:val="40"/>
            </w:pPr>
            <w:r>
              <w:t>2600</w:t>
            </w:r>
          </w:p>
        </w:tc>
        <w:tc>
          <w:tcPr>
            <w:tcW w:w="562" w:type="pct"/>
            <w:vAlign w:val="center"/>
          </w:tcPr>
          <w:p w14:paraId="331E8D7E">
            <w:pPr>
              <w:pStyle w:val="40"/>
            </w:pPr>
            <w:r>
              <w:t>预期性</w:t>
            </w:r>
          </w:p>
        </w:tc>
        <w:tc>
          <w:tcPr>
            <w:tcW w:w="1056" w:type="pct"/>
            <w:vAlign w:val="center"/>
          </w:tcPr>
          <w:p w14:paraId="4535F7B4">
            <w:pPr>
              <w:pStyle w:val="40"/>
            </w:pPr>
          </w:p>
        </w:tc>
        <w:tc>
          <w:tcPr>
            <w:tcW w:w="1465" w:type="pct"/>
            <w:vAlign w:val="center"/>
          </w:tcPr>
          <w:p w14:paraId="7B5863AA">
            <w:pPr>
              <w:pStyle w:val="40"/>
            </w:pPr>
          </w:p>
        </w:tc>
      </w:tr>
      <w:tr w14:paraId="6B5C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pct"/>
            <w:vAlign w:val="center"/>
          </w:tcPr>
          <w:p w14:paraId="7BDB2059">
            <w:pPr>
              <w:pStyle w:val="40"/>
            </w:pPr>
            <w:r>
              <w:t>城镇建筑中可再生能源替代率（%）</w:t>
            </w:r>
          </w:p>
        </w:tc>
        <w:tc>
          <w:tcPr>
            <w:tcW w:w="452" w:type="pct"/>
            <w:vAlign w:val="center"/>
          </w:tcPr>
          <w:p w14:paraId="2FACD729">
            <w:pPr>
              <w:pStyle w:val="40"/>
            </w:pPr>
            <w:r>
              <w:t>8</w:t>
            </w:r>
          </w:p>
        </w:tc>
        <w:tc>
          <w:tcPr>
            <w:tcW w:w="562" w:type="pct"/>
            <w:vAlign w:val="center"/>
          </w:tcPr>
          <w:p w14:paraId="55205649">
            <w:pPr>
              <w:pStyle w:val="40"/>
            </w:pPr>
            <w:r>
              <w:t>预期性</w:t>
            </w:r>
          </w:p>
        </w:tc>
        <w:tc>
          <w:tcPr>
            <w:tcW w:w="1056" w:type="pct"/>
            <w:vAlign w:val="center"/>
          </w:tcPr>
          <w:p w14:paraId="4EB9BCFA">
            <w:pPr>
              <w:pStyle w:val="40"/>
            </w:pPr>
          </w:p>
        </w:tc>
        <w:tc>
          <w:tcPr>
            <w:tcW w:w="1465" w:type="pct"/>
            <w:vAlign w:val="center"/>
          </w:tcPr>
          <w:p w14:paraId="47EA0EF0">
            <w:pPr>
              <w:pStyle w:val="40"/>
            </w:pPr>
          </w:p>
        </w:tc>
      </w:tr>
      <w:tr w14:paraId="337D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pct"/>
            <w:vAlign w:val="center"/>
          </w:tcPr>
          <w:p w14:paraId="470B9BF0">
            <w:pPr>
              <w:pStyle w:val="40"/>
            </w:pPr>
            <w:r>
              <w:t>建筑用能电气化率（%）</w:t>
            </w:r>
          </w:p>
        </w:tc>
        <w:tc>
          <w:tcPr>
            <w:tcW w:w="452" w:type="pct"/>
            <w:vAlign w:val="center"/>
          </w:tcPr>
          <w:p w14:paraId="34B55310">
            <w:pPr>
              <w:pStyle w:val="40"/>
            </w:pPr>
            <w:r>
              <w:t>55</w:t>
            </w:r>
          </w:p>
        </w:tc>
        <w:tc>
          <w:tcPr>
            <w:tcW w:w="562" w:type="pct"/>
            <w:vAlign w:val="center"/>
          </w:tcPr>
          <w:p w14:paraId="05016509">
            <w:pPr>
              <w:pStyle w:val="40"/>
            </w:pPr>
            <w:r>
              <w:t>预期性</w:t>
            </w:r>
          </w:p>
        </w:tc>
        <w:tc>
          <w:tcPr>
            <w:tcW w:w="1056" w:type="pct"/>
            <w:vAlign w:val="center"/>
          </w:tcPr>
          <w:p w14:paraId="3AB9A145">
            <w:pPr>
              <w:pStyle w:val="40"/>
            </w:pPr>
          </w:p>
        </w:tc>
        <w:tc>
          <w:tcPr>
            <w:tcW w:w="1465" w:type="pct"/>
            <w:vAlign w:val="center"/>
          </w:tcPr>
          <w:p w14:paraId="7F8C8D3F">
            <w:pPr>
              <w:pStyle w:val="40"/>
            </w:pPr>
          </w:p>
        </w:tc>
      </w:tr>
      <w:tr w14:paraId="609C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pct"/>
            <w:vAlign w:val="center"/>
          </w:tcPr>
          <w:p w14:paraId="38F56117">
            <w:pPr>
              <w:pStyle w:val="40"/>
            </w:pPr>
            <w:r>
              <w:t>超低能耗建筑面积（万平方米）</w:t>
            </w:r>
          </w:p>
        </w:tc>
        <w:tc>
          <w:tcPr>
            <w:tcW w:w="452" w:type="pct"/>
            <w:vAlign w:val="center"/>
          </w:tcPr>
          <w:p w14:paraId="01897D14">
            <w:pPr>
              <w:pStyle w:val="40"/>
            </w:pPr>
            <w:r>
              <w:t>50</w:t>
            </w:r>
          </w:p>
        </w:tc>
        <w:tc>
          <w:tcPr>
            <w:tcW w:w="562" w:type="pct"/>
            <w:vAlign w:val="center"/>
          </w:tcPr>
          <w:p w14:paraId="48500D06">
            <w:pPr>
              <w:pStyle w:val="40"/>
            </w:pPr>
            <w:r>
              <w:t>预期性</w:t>
            </w:r>
          </w:p>
        </w:tc>
        <w:tc>
          <w:tcPr>
            <w:tcW w:w="1056" w:type="pct"/>
            <w:vAlign w:val="center"/>
          </w:tcPr>
          <w:p w14:paraId="6F0D3227">
            <w:pPr>
              <w:pStyle w:val="40"/>
            </w:pPr>
          </w:p>
        </w:tc>
        <w:tc>
          <w:tcPr>
            <w:tcW w:w="1465" w:type="pct"/>
            <w:vAlign w:val="center"/>
          </w:tcPr>
          <w:p w14:paraId="28B31228">
            <w:pPr>
              <w:pStyle w:val="40"/>
            </w:pPr>
          </w:p>
        </w:tc>
      </w:tr>
    </w:tbl>
    <w:p w14:paraId="36A8D2C3">
      <w:pPr>
        <w:spacing w:line="480" w:lineRule="exact"/>
        <w:ind w:firstLine="482"/>
        <w:rPr>
          <w:b/>
          <w:bCs/>
          <w:szCs w:val="21"/>
        </w:rPr>
      </w:pPr>
    </w:p>
    <w:p w14:paraId="3C0B51C9">
      <w:pPr>
        <w:spacing w:line="480" w:lineRule="exact"/>
        <w:ind w:firstLine="482"/>
        <w:rPr>
          <w:rFonts w:ascii="楷体" w:hAnsi="楷体" w:eastAsia="楷体"/>
          <w:b/>
          <w:bCs/>
          <w:szCs w:val="21"/>
        </w:rPr>
      </w:pPr>
      <w:r>
        <w:rPr>
          <w:rFonts w:hint="eastAsia" w:ascii="楷体" w:hAnsi="楷体" w:eastAsia="楷体"/>
          <w:b/>
          <w:bCs/>
          <w:szCs w:val="21"/>
        </w:rPr>
        <w:t>二、关于所在区县十四五期间对规划目标可行性</w:t>
      </w:r>
    </w:p>
    <w:p w14:paraId="3CD47C77">
      <w:pPr>
        <w:spacing w:line="480" w:lineRule="exact"/>
      </w:pPr>
      <w:r>
        <w:rPr>
          <w:rFonts w:hint="eastAsia"/>
        </w:rPr>
        <w:t>上述拟设置的沈阳市建筑节能与绿色建筑</w:t>
      </w:r>
      <w:r>
        <w:rPr>
          <w:rFonts w:hint="eastAsia"/>
          <w:lang w:eastAsia="zh-CN"/>
        </w:rPr>
        <w:t>“十四五”规划</w:t>
      </w:r>
      <w:r>
        <w:rPr>
          <w:rFonts w:hint="eastAsia"/>
        </w:rPr>
        <w:t>目标的实现将通过以下方面工作推进，具体各区县可开展工作内容有：</w:t>
      </w:r>
    </w:p>
    <w:p w14:paraId="3CC34BDA">
      <w:pPr>
        <w:spacing w:line="480" w:lineRule="exact"/>
      </w:pPr>
      <w:r>
        <w:rPr>
          <w:rFonts w:hint="eastAsia"/>
        </w:rPr>
        <w:t>（一）建筑能效提升与低碳化</w:t>
      </w:r>
    </w:p>
    <w:p w14:paraId="4FDF670B">
      <w:pPr>
        <w:spacing w:line="480" w:lineRule="exact"/>
      </w:pPr>
      <w:r>
        <w:rPr>
          <w:rFonts w:hint="eastAsia"/>
        </w:rPr>
        <w:t>1、新建建筑执行强制性标准</w:t>
      </w:r>
    </w:p>
    <w:p w14:paraId="6B34D7C6">
      <w:pPr>
        <w:spacing w:line="480" w:lineRule="exact"/>
      </w:pPr>
      <w:r>
        <w:rPr>
          <w:rFonts w:hint="eastAsia"/>
        </w:rPr>
        <w:t>贵区县新建居住建筑是否可全面执行7</w:t>
      </w:r>
      <w:r>
        <w:t>5</w:t>
      </w:r>
      <w:r>
        <w:rPr>
          <w:rFonts w:hint="eastAsia"/>
        </w:rPr>
        <w:t>%标准？_</w:t>
      </w:r>
      <w:r>
        <w:t>___</w:t>
      </w:r>
      <w:r>
        <w:rPr>
          <w:rFonts w:hint="eastAsia"/>
        </w:rPr>
        <w:t>（是/否）根据各区县历年新开工规模，测算未来5年，2021年至2025年新增居住建筑_</w:t>
      </w:r>
      <w:r>
        <w:t>___</w:t>
      </w:r>
      <w:r>
        <w:rPr>
          <w:rFonts w:hint="eastAsia"/>
        </w:rPr>
        <w:t>万m</w:t>
      </w:r>
      <w:r>
        <w:rPr>
          <w:vertAlign w:val="superscript"/>
        </w:rPr>
        <w:t>2</w:t>
      </w:r>
      <w:r>
        <w:rPr>
          <w:rFonts w:hint="eastAsia"/>
        </w:rPr>
        <w:t>，新增公共建筑_</w:t>
      </w:r>
      <w:r>
        <w:t>__</w:t>
      </w:r>
      <w:r>
        <w:rPr>
          <w:rFonts w:hint="eastAsia"/>
        </w:rPr>
        <w:t>万m</w:t>
      </w:r>
      <w:r>
        <w:rPr>
          <w:vertAlign w:val="superscript"/>
        </w:rPr>
        <w:t>2</w:t>
      </w:r>
      <w:r>
        <w:rPr>
          <w:rFonts w:hint="eastAsia"/>
        </w:rPr>
        <w:t>。</w:t>
      </w:r>
    </w:p>
    <w:p w14:paraId="56BA25E5">
      <w:pPr>
        <w:spacing w:line="480" w:lineRule="exact"/>
      </w:pPr>
      <w:r>
        <w:t>2</w:t>
      </w:r>
      <w:r>
        <w:rPr>
          <w:rFonts w:hint="eastAsia"/>
        </w:rPr>
        <w:t>、超低能耗建筑示范推广</w:t>
      </w:r>
    </w:p>
    <w:p w14:paraId="5F9A05F1">
      <w:pPr>
        <w:spacing w:after="156" w:afterLines="50" w:line="480" w:lineRule="exact"/>
      </w:pPr>
      <w:r>
        <w:rPr>
          <w:rFonts w:hint="eastAsia"/>
        </w:rPr>
        <w:t>零能耗建筑试点、超低能耗建筑推广试点工作，特别是大型公共建筑是否有可能开展超低能耗、近零能耗或零碳建筑或社区示范。请结合本区县十四五期间预期项目，填写可完成的建筑规模。预计可实现超低能耗建筑示范_</w:t>
      </w:r>
      <w:r>
        <w:t>______</w:t>
      </w:r>
      <w:r>
        <w:rPr>
          <w:rFonts w:hint="eastAsia"/>
        </w:rPr>
        <w:t>m</w:t>
      </w:r>
      <w:r>
        <w:rPr>
          <w:vertAlign w:val="superscript"/>
        </w:rPr>
        <w:t>2</w:t>
      </w:r>
      <w:r>
        <w:rPr>
          <w:rFonts w:hint="eastAsia"/>
        </w:rPr>
        <w:t>。</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193"/>
        <w:gridCol w:w="1297"/>
        <w:gridCol w:w="3254"/>
        <w:gridCol w:w="1778"/>
      </w:tblGrid>
      <w:tr w14:paraId="15BE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jc w:val="center"/>
        </w:trPr>
        <w:tc>
          <w:tcPr>
            <w:tcW w:w="1287" w:type="pct"/>
            <w:shd w:val="clear" w:color="auto" w:fill="FFFFFF" w:themeFill="background1"/>
            <w:vAlign w:val="center"/>
          </w:tcPr>
          <w:p w14:paraId="579D25D8">
            <w:pPr>
              <w:pStyle w:val="40"/>
            </w:pPr>
            <w:r>
              <w:rPr>
                <w:rFonts w:hint="eastAsia"/>
              </w:rPr>
              <w:t>计划名称</w:t>
            </w:r>
          </w:p>
        </w:tc>
        <w:tc>
          <w:tcPr>
            <w:tcW w:w="761" w:type="pct"/>
            <w:shd w:val="clear" w:color="auto" w:fill="FFFFFF" w:themeFill="background1"/>
            <w:vAlign w:val="center"/>
          </w:tcPr>
          <w:p w14:paraId="61D10439">
            <w:pPr>
              <w:pStyle w:val="40"/>
            </w:pPr>
            <w:r>
              <w:rPr>
                <w:rFonts w:hint="eastAsia"/>
              </w:rPr>
              <w:t>地点</w:t>
            </w:r>
          </w:p>
        </w:tc>
        <w:tc>
          <w:tcPr>
            <w:tcW w:w="1909" w:type="pct"/>
            <w:shd w:val="clear" w:color="auto" w:fill="FFFFFF" w:themeFill="background1"/>
            <w:vAlign w:val="center"/>
          </w:tcPr>
          <w:p w14:paraId="34CD2D31">
            <w:pPr>
              <w:pStyle w:val="40"/>
            </w:pPr>
            <w:r>
              <w:rPr>
                <w:rFonts w:hint="eastAsia"/>
              </w:rPr>
              <w:t>规模（面积）</w:t>
            </w:r>
          </w:p>
        </w:tc>
        <w:tc>
          <w:tcPr>
            <w:tcW w:w="1043" w:type="pct"/>
            <w:shd w:val="clear" w:color="auto" w:fill="FFFFFF" w:themeFill="background1"/>
            <w:vAlign w:val="center"/>
          </w:tcPr>
          <w:p w14:paraId="51BA30A7">
            <w:pPr>
              <w:pStyle w:val="40"/>
            </w:pPr>
            <w:r>
              <w:rPr>
                <w:rFonts w:hint="eastAsia"/>
              </w:rPr>
              <w:t>项目个数</w:t>
            </w:r>
          </w:p>
        </w:tc>
      </w:tr>
      <w:tr w14:paraId="4B3F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pct"/>
            <w:shd w:val="clear" w:color="auto" w:fill="FFFFFF" w:themeFill="background1"/>
            <w:vAlign w:val="center"/>
          </w:tcPr>
          <w:p w14:paraId="66DEE5A7">
            <w:pPr>
              <w:pStyle w:val="40"/>
            </w:pPr>
          </w:p>
        </w:tc>
        <w:tc>
          <w:tcPr>
            <w:tcW w:w="761" w:type="pct"/>
            <w:shd w:val="clear" w:color="auto" w:fill="FFFFFF" w:themeFill="background1"/>
            <w:vAlign w:val="center"/>
          </w:tcPr>
          <w:p w14:paraId="650C7886">
            <w:pPr>
              <w:pStyle w:val="40"/>
            </w:pPr>
          </w:p>
        </w:tc>
        <w:tc>
          <w:tcPr>
            <w:tcW w:w="1909" w:type="pct"/>
            <w:shd w:val="clear" w:color="auto" w:fill="FFFFFF" w:themeFill="background1"/>
            <w:vAlign w:val="center"/>
          </w:tcPr>
          <w:p w14:paraId="5F2518F2">
            <w:pPr>
              <w:pStyle w:val="40"/>
            </w:pPr>
          </w:p>
        </w:tc>
        <w:tc>
          <w:tcPr>
            <w:tcW w:w="1043" w:type="pct"/>
            <w:shd w:val="clear" w:color="auto" w:fill="FFFFFF" w:themeFill="background1"/>
            <w:vAlign w:val="center"/>
          </w:tcPr>
          <w:p w14:paraId="1D5294C1">
            <w:pPr>
              <w:pStyle w:val="40"/>
            </w:pPr>
          </w:p>
        </w:tc>
      </w:tr>
      <w:tr w14:paraId="7CA3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pct"/>
            <w:shd w:val="clear" w:color="auto" w:fill="FFFFFF" w:themeFill="background1"/>
            <w:vAlign w:val="center"/>
          </w:tcPr>
          <w:p w14:paraId="6C2848D5">
            <w:pPr>
              <w:pStyle w:val="40"/>
            </w:pPr>
          </w:p>
        </w:tc>
        <w:tc>
          <w:tcPr>
            <w:tcW w:w="761" w:type="pct"/>
            <w:shd w:val="clear" w:color="auto" w:fill="FFFFFF" w:themeFill="background1"/>
            <w:vAlign w:val="center"/>
          </w:tcPr>
          <w:p w14:paraId="724699FF">
            <w:pPr>
              <w:pStyle w:val="40"/>
            </w:pPr>
          </w:p>
        </w:tc>
        <w:tc>
          <w:tcPr>
            <w:tcW w:w="1909" w:type="pct"/>
            <w:shd w:val="clear" w:color="auto" w:fill="FFFFFF" w:themeFill="background1"/>
            <w:vAlign w:val="center"/>
          </w:tcPr>
          <w:p w14:paraId="0E4951D2">
            <w:pPr>
              <w:pStyle w:val="40"/>
            </w:pPr>
          </w:p>
        </w:tc>
        <w:tc>
          <w:tcPr>
            <w:tcW w:w="1043" w:type="pct"/>
            <w:shd w:val="clear" w:color="auto" w:fill="FFFFFF" w:themeFill="background1"/>
            <w:vAlign w:val="center"/>
          </w:tcPr>
          <w:p w14:paraId="6C0A2B83">
            <w:pPr>
              <w:pStyle w:val="40"/>
            </w:pPr>
          </w:p>
        </w:tc>
      </w:tr>
      <w:tr w14:paraId="27D0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pct"/>
            <w:shd w:val="clear" w:color="auto" w:fill="FFFFFF" w:themeFill="background1"/>
            <w:vAlign w:val="center"/>
          </w:tcPr>
          <w:p w14:paraId="119A5DA4">
            <w:pPr>
              <w:pStyle w:val="40"/>
            </w:pPr>
          </w:p>
        </w:tc>
        <w:tc>
          <w:tcPr>
            <w:tcW w:w="761" w:type="pct"/>
            <w:shd w:val="clear" w:color="auto" w:fill="FFFFFF" w:themeFill="background1"/>
            <w:vAlign w:val="center"/>
          </w:tcPr>
          <w:p w14:paraId="4C3E8007">
            <w:pPr>
              <w:pStyle w:val="40"/>
            </w:pPr>
          </w:p>
        </w:tc>
        <w:tc>
          <w:tcPr>
            <w:tcW w:w="1909" w:type="pct"/>
            <w:shd w:val="clear" w:color="auto" w:fill="FFFFFF" w:themeFill="background1"/>
            <w:vAlign w:val="center"/>
          </w:tcPr>
          <w:p w14:paraId="1C7FC950">
            <w:pPr>
              <w:pStyle w:val="40"/>
            </w:pPr>
          </w:p>
        </w:tc>
        <w:tc>
          <w:tcPr>
            <w:tcW w:w="1043" w:type="pct"/>
            <w:shd w:val="clear" w:color="auto" w:fill="FFFFFF" w:themeFill="background1"/>
            <w:vAlign w:val="center"/>
          </w:tcPr>
          <w:p w14:paraId="73F4CA94">
            <w:pPr>
              <w:pStyle w:val="40"/>
            </w:pPr>
          </w:p>
        </w:tc>
      </w:tr>
    </w:tbl>
    <w:p w14:paraId="6B519209">
      <w:pPr>
        <w:spacing w:line="480" w:lineRule="exact"/>
        <w:rPr>
          <w:color w:val="FF0000"/>
        </w:rPr>
      </w:pPr>
      <w:r>
        <w:rPr>
          <w:rFonts w:hint="eastAsia"/>
          <w:color w:val="FF0000"/>
        </w:rPr>
        <w:t>备注：本部分主要是针对政府投资办公建筑、学校、医院等公益性建筑的规模，优先按照超低能耗、近零能耗建筑要求设计建造。</w:t>
      </w:r>
      <w:r>
        <w:rPr>
          <w:rFonts w:hint="eastAsia"/>
          <w:color w:val="FF0000"/>
          <w:u w:val="single"/>
        </w:rPr>
        <w:t>本部分测算所在区县的</w:t>
      </w:r>
      <w:r>
        <w:rPr>
          <w:color w:val="FF0000"/>
          <w:u w:val="single"/>
        </w:rPr>
        <w:t>2021-2025年的建筑规模。沈阳市</w:t>
      </w:r>
      <w:r>
        <w:rPr>
          <w:rFonts w:hint="eastAsia"/>
          <w:color w:val="FF0000"/>
          <w:u w:val="single"/>
        </w:rPr>
        <w:t>超低能耗建筑示范拟定目标是</w:t>
      </w:r>
      <w:r>
        <w:rPr>
          <w:color w:val="FF0000"/>
          <w:u w:val="single"/>
        </w:rPr>
        <w:t>50万平</w:t>
      </w:r>
      <w:r>
        <w:rPr>
          <w:rFonts w:hint="eastAsia"/>
          <w:color w:val="FF0000"/>
          <w:u w:val="single"/>
        </w:rPr>
        <w:t>方</w:t>
      </w:r>
      <w:r>
        <w:rPr>
          <w:color w:val="FF0000"/>
          <w:u w:val="single"/>
        </w:rPr>
        <w:t>米，需要分摊到各区县。</w:t>
      </w:r>
    </w:p>
    <w:p w14:paraId="73AE9316">
      <w:pPr>
        <w:spacing w:line="480" w:lineRule="exact"/>
      </w:pPr>
      <w:r>
        <w:rPr>
          <w:rFonts w:hint="eastAsia"/>
        </w:rPr>
        <w:t>3、装配式建筑</w:t>
      </w:r>
    </w:p>
    <w:p w14:paraId="20A46AF2">
      <w:pPr>
        <w:spacing w:line="480" w:lineRule="exact"/>
      </w:pPr>
      <w:r>
        <w:rPr>
          <w:rFonts w:hint="eastAsia"/>
        </w:rPr>
        <w:t>十四五期间，拟定到2</w:t>
      </w:r>
      <w:r>
        <w:t>025</w:t>
      </w:r>
      <w:r>
        <w:rPr>
          <w:rFonts w:hint="eastAsia"/>
        </w:rPr>
        <w:t>年全市新建建筑中装配式建筑比例为7</w:t>
      </w:r>
      <w:r>
        <w:t>5</w:t>
      </w:r>
      <w:r>
        <w:rPr>
          <w:rFonts w:hint="eastAsia"/>
        </w:rPr>
        <w:t>%，根据贵区县实际情况，预计</w:t>
      </w:r>
      <w:r>
        <w:rPr>
          <w:rFonts w:hint="eastAsia"/>
          <w:em w:val="dot"/>
        </w:rPr>
        <w:t>到2</w:t>
      </w:r>
      <w:r>
        <w:rPr>
          <w:em w:val="dot"/>
        </w:rPr>
        <w:t>025</w:t>
      </w:r>
      <w:r>
        <w:rPr>
          <w:rFonts w:hint="eastAsia"/>
          <w:em w:val="dot"/>
        </w:rPr>
        <w:t>年</w:t>
      </w:r>
      <w:r>
        <w:rPr>
          <w:rFonts w:hint="eastAsia"/>
        </w:rPr>
        <w:t>，新建建筑装配式建筑占比可达到_</w:t>
      </w:r>
      <w:r>
        <w:t>____</w:t>
      </w:r>
      <w:r>
        <w:rPr>
          <w:rFonts w:hint="eastAsia"/>
        </w:rPr>
        <w:t>%。</w:t>
      </w:r>
    </w:p>
    <w:p w14:paraId="4DBD04F8">
      <w:pPr>
        <w:spacing w:line="480" w:lineRule="exact"/>
      </w:pPr>
      <w:r>
        <w:rPr>
          <w:rFonts w:hint="eastAsia"/>
        </w:rPr>
        <w:t>4、既有建筑节能改造</w:t>
      </w:r>
    </w:p>
    <w:p w14:paraId="04F9CA6A">
      <w:pPr>
        <w:spacing w:after="156" w:afterLines="50" w:line="480" w:lineRule="exact"/>
      </w:pPr>
      <w:r>
        <w:rPr>
          <w:rFonts w:hint="eastAsia"/>
        </w:rPr>
        <w:t>请结合贵区县既有建筑情况，预计十四五期间（2</w:t>
      </w:r>
      <w:r>
        <w:t>021</w:t>
      </w:r>
      <w:r>
        <w:rPr>
          <w:rFonts w:hint="eastAsia"/>
        </w:rPr>
        <w:t>-</w:t>
      </w:r>
      <w:r>
        <w:t>2025</w:t>
      </w:r>
      <w:r>
        <w:rPr>
          <w:rFonts w:hint="eastAsia"/>
        </w:rPr>
        <w:t>年）既有建筑节能改造可完成_</w:t>
      </w:r>
      <w:r>
        <w:t>_____</w:t>
      </w:r>
      <w:r>
        <w:rPr>
          <w:rFonts w:hint="eastAsia"/>
        </w:rPr>
        <w:t>万m</w:t>
      </w:r>
      <w:r>
        <w:rPr>
          <w:vertAlign w:val="superscript"/>
        </w:rPr>
        <w:t>2</w:t>
      </w:r>
      <w:r>
        <w:rPr>
          <w:rFonts w:hint="eastAsia"/>
        </w:rPr>
        <w:t>。</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151"/>
        <w:gridCol w:w="1380"/>
        <w:gridCol w:w="2035"/>
        <w:gridCol w:w="1977"/>
        <w:gridCol w:w="1977"/>
      </w:tblGrid>
      <w:tr w14:paraId="03A7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676" w:type="pct"/>
            <w:shd w:val="clear" w:color="auto" w:fill="FFFFFF" w:themeFill="background1"/>
            <w:vAlign w:val="center"/>
          </w:tcPr>
          <w:p w14:paraId="14183682">
            <w:pPr>
              <w:pStyle w:val="40"/>
            </w:pPr>
            <w:r>
              <w:rPr>
                <w:rFonts w:hint="eastAsia"/>
              </w:rPr>
              <w:t>建筑类型</w:t>
            </w:r>
          </w:p>
        </w:tc>
        <w:tc>
          <w:tcPr>
            <w:tcW w:w="810" w:type="pct"/>
            <w:shd w:val="clear" w:color="auto" w:fill="FFFFFF" w:themeFill="background1"/>
            <w:vAlign w:val="center"/>
          </w:tcPr>
          <w:p w14:paraId="7F3C62DF">
            <w:pPr>
              <w:pStyle w:val="40"/>
            </w:pPr>
            <w:r>
              <w:rPr>
                <w:rFonts w:hint="eastAsia"/>
              </w:rPr>
              <w:t>项目所在地</w:t>
            </w:r>
          </w:p>
        </w:tc>
        <w:tc>
          <w:tcPr>
            <w:tcW w:w="1194" w:type="pct"/>
            <w:shd w:val="clear" w:color="auto" w:fill="FFFFFF" w:themeFill="background1"/>
            <w:vAlign w:val="center"/>
          </w:tcPr>
          <w:p w14:paraId="6F2C85E6">
            <w:pPr>
              <w:pStyle w:val="40"/>
            </w:pPr>
            <w:r>
              <w:rPr>
                <w:rFonts w:hint="eastAsia"/>
              </w:rPr>
              <w:t>预计节能改造面积（万㎡）</w:t>
            </w:r>
          </w:p>
        </w:tc>
        <w:tc>
          <w:tcPr>
            <w:tcW w:w="1160" w:type="pct"/>
            <w:shd w:val="clear" w:color="auto" w:fill="FFFFFF" w:themeFill="background1"/>
          </w:tcPr>
          <w:p w14:paraId="677DBE4A">
            <w:pPr>
              <w:pStyle w:val="40"/>
            </w:pPr>
            <w:r>
              <w:rPr>
                <w:rFonts w:hint="eastAsia"/>
              </w:rPr>
              <w:t>其中，绿色化改造面积（万㎡）</w:t>
            </w:r>
          </w:p>
        </w:tc>
        <w:tc>
          <w:tcPr>
            <w:tcW w:w="1160" w:type="pct"/>
            <w:shd w:val="clear" w:color="auto" w:fill="FFFFFF" w:themeFill="background1"/>
            <w:vAlign w:val="center"/>
          </w:tcPr>
          <w:p w14:paraId="71F6C30B">
            <w:pPr>
              <w:pStyle w:val="40"/>
            </w:pPr>
            <w:r>
              <w:rPr>
                <w:rFonts w:hint="eastAsia"/>
              </w:rPr>
              <w:t>合计（万㎡）</w:t>
            </w:r>
          </w:p>
        </w:tc>
      </w:tr>
      <w:tr w14:paraId="085C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pct"/>
            <w:shd w:val="clear" w:color="auto" w:fill="FFFFFF" w:themeFill="background1"/>
            <w:vAlign w:val="center"/>
          </w:tcPr>
          <w:p w14:paraId="0D60BC8C">
            <w:pPr>
              <w:pStyle w:val="40"/>
            </w:pPr>
          </w:p>
        </w:tc>
        <w:tc>
          <w:tcPr>
            <w:tcW w:w="810" w:type="pct"/>
            <w:shd w:val="clear" w:color="auto" w:fill="FFFFFF" w:themeFill="background1"/>
            <w:vAlign w:val="center"/>
          </w:tcPr>
          <w:p w14:paraId="6FBCF657">
            <w:pPr>
              <w:pStyle w:val="40"/>
            </w:pPr>
          </w:p>
        </w:tc>
        <w:tc>
          <w:tcPr>
            <w:tcW w:w="1194" w:type="pct"/>
            <w:shd w:val="clear" w:color="auto" w:fill="FFFFFF" w:themeFill="background1"/>
            <w:vAlign w:val="center"/>
          </w:tcPr>
          <w:p w14:paraId="1ED7E7E6">
            <w:pPr>
              <w:pStyle w:val="40"/>
            </w:pPr>
          </w:p>
        </w:tc>
        <w:tc>
          <w:tcPr>
            <w:tcW w:w="1160" w:type="pct"/>
            <w:shd w:val="clear" w:color="auto" w:fill="FFFFFF" w:themeFill="background1"/>
          </w:tcPr>
          <w:p w14:paraId="388690E9">
            <w:pPr>
              <w:pStyle w:val="40"/>
            </w:pPr>
          </w:p>
        </w:tc>
        <w:tc>
          <w:tcPr>
            <w:tcW w:w="1160" w:type="pct"/>
            <w:shd w:val="clear" w:color="auto" w:fill="FFFFFF" w:themeFill="background1"/>
            <w:vAlign w:val="center"/>
          </w:tcPr>
          <w:p w14:paraId="61086746">
            <w:pPr>
              <w:pStyle w:val="40"/>
            </w:pPr>
          </w:p>
        </w:tc>
      </w:tr>
      <w:tr w14:paraId="0D76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pct"/>
            <w:shd w:val="clear" w:color="auto" w:fill="FFFFFF" w:themeFill="background1"/>
            <w:vAlign w:val="center"/>
          </w:tcPr>
          <w:p w14:paraId="4A3A15C9">
            <w:pPr>
              <w:pStyle w:val="40"/>
            </w:pPr>
          </w:p>
        </w:tc>
        <w:tc>
          <w:tcPr>
            <w:tcW w:w="810" w:type="pct"/>
            <w:shd w:val="clear" w:color="auto" w:fill="FFFFFF" w:themeFill="background1"/>
            <w:vAlign w:val="center"/>
          </w:tcPr>
          <w:p w14:paraId="57F7179B">
            <w:pPr>
              <w:pStyle w:val="40"/>
            </w:pPr>
          </w:p>
        </w:tc>
        <w:tc>
          <w:tcPr>
            <w:tcW w:w="1194" w:type="pct"/>
            <w:shd w:val="clear" w:color="auto" w:fill="FFFFFF" w:themeFill="background1"/>
            <w:vAlign w:val="center"/>
          </w:tcPr>
          <w:p w14:paraId="681CD8D6">
            <w:pPr>
              <w:pStyle w:val="40"/>
            </w:pPr>
          </w:p>
        </w:tc>
        <w:tc>
          <w:tcPr>
            <w:tcW w:w="1160" w:type="pct"/>
            <w:shd w:val="clear" w:color="auto" w:fill="FFFFFF" w:themeFill="background1"/>
          </w:tcPr>
          <w:p w14:paraId="0DF7A5C1">
            <w:pPr>
              <w:pStyle w:val="40"/>
            </w:pPr>
          </w:p>
        </w:tc>
        <w:tc>
          <w:tcPr>
            <w:tcW w:w="1160" w:type="pct"/>
            <w:shd w:val="clear" w:color="auto" w:fill="FFFFFF" w:themeFill="background1"/>
            <w:vAlign w:val="center"/>
          </w:tcPr>
          <w:p w14:paraId="17B7ACC6">
            <w:pPr>
              <w:pStyle w:val="40"/>
            </w:pPr>
          </w:p>
        </w:tc>
      </w:tr>
      <w:tr w14:paraId="70A0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pct"/>
            <w:shd w:val="clear" w:color="auto" w:fill="FFFFFF" w:themeFill="background1"/>
            <w:vAlign w:val="center"/>
          </w:tcPr>
          <w:p w14:paraId="19019466">
            <w:pPr>
              <w:pStyle w:val="40"/>
            </w:pPr>
          </w:p>
        </w:tc>
        <w:tc>
          <w:tcPr>
            <w:tcW w:w="810" w:type="pct"/>
            <w:shd w:val="clear" w:color="auto" w:fill="FFFFFF" w:themeFill="background1"/>
            <w:vAlign w:val="center"/>
          </w:tcPr>
          <w:p w14:paraId="276EB8EC">
            <w:pPr>
              <w:pStyle w:val="40"/>
            </w:pPr>
          </w:p>
        </w:tc>
        <w:tc>
          <w:tcPr>
            <w:tcW w:w="1194" w:type="pct"/>
            <w:shd w:val="clear" w:color="auto" w:fill="FFFFFF" w:themeFill="background1"/>
            <w:vAlign w:val="center"/>
          </w:tcPr>
          <w:p w14:paraId="4DC76272">
            <w:pPr>
              <w:pStyle w:val="40"/>
            </w:pPr>
          </w:p>
        </w:tc>
        <w:tc>
          <w:tcPr>
            <w:tcW w:w="1160" w:type="pct"/>
            <w:shd w:val="clear" w:color="auto" w:fill="FFFFFF" w:themeFill="background1"/>
          </w:tcPr>
          <w:p w14:paraId="73B5836E">
            <w:pPr>
              <w:pStyle w:val="40"/>
            </w:pPr>
          </w:p>
        </w:tc>
        <w:tc>
          <w:tcPr>
            <w:tcW w:w="1160" w:type="pct"/>
            <w:shd w:val="clear" w:color="auto" w:fill="FFFFFF" w:themeFill="background1"/>
            <w:vAlign w:val="center"/>
          </w:tcPr>
          <w:p w14:paraId="22A69E28">
            <w:pPr>
              <w:pStyle w:val="40"/>
            </w:pPr>
          </w:p>
        </w:tc>
      </w:tr>
    </w:tbl>
    <w:p w14:paraId="080E72B6">
      <w:pPr>
        <w:spacing w:line="480" w:lineRule="exact"/>
        <w:rPr>
          <w:color w:val="FF0000"/>
        </w:rPr>
      </w:pPr>
      <w:r>
        <w:rPr>
          <w:rFonts w:hint="eastAsia"/>
          <w:color w:val="FF0000"/>
        </w:rPr>
        <w:t>备注：根据《关于印发&lt;辽宁省老旧小区改造技术指引&gt;暨“</w:t>
      </w:r>
      <w:r>
        <w:rPr>
          <w:color w:val="FF0000"/>
        </w:rPr>
        <w:t>1358工作法”的通知</w:t>
      </w:r>
      <w:r>
        <w:rPr>
          <w:rFonts w:hint="eastAsia"/>
          <w:color w:val="FF0000"/>
        </w:rPr>
        <w:t>》，到</w:t>
      </w:r>
      <w:r>
        <w:rPr>
          <w:color w:val="FF0000"/>
        </w:rPr>
        <w:t>2025年，</w:t>
      </w:r>
      <w:r>
        <w:rPr>
          <w:color w:val="FF0000"/>
          <w:u w:val="single"/>
        </w:rPr>
        <w:t>基本完成对2000年底前建成的需改造城镇老旧小区综合改造提升</w:t>
      </w:r>
      <w:r>
        <w:rPr>
          <w:rFonts w:hint="eastAsia"/>
          <w:color w:val="FF0000"/>
          <w:u w:val="single"/>
        </w:rPr>
        <w:t>（具有改造价值）</w:t>
      </w:r>
      <w:r>
        <w:rPr>
          <w:color w:val="FF0000"/>
          <w:u w:val="single"/>
        </w:rPr>
        <w:t>，</w:t>
      </w:r>
      <w:r>
        <w:rPr>
          <w:color w:val="FF0000"/>
        </w:rPr>
        <w:t>建设安全健康、设施完善、管理有序的完整居住社区。</w:t>
      </w:r>
    </w:p>
    <w:p w14:paraId="59A0CFC8">
      <w:pPr>
        <w:spacing w:line="480" w:lineRule="exact"/>
      </w:pPr>
      <w:r>
        <w:rPr>
          <w:rFonts w:hint="eastAsia"/>
        </w:rPr>
        <w:t>5、建筑电气化</w:t>
      </w:r>
    </w:p>
    <w:p w14:paraId="2E3D0E3F">
      <w:pPr>
        <w:spacing w:line="480" w:lineRule="exact"/>
      </w:pPr>
      <w:r>
        <w:rPr>
          <w:rFonts w:hint="eastAsia"/>
        </w:rPr>
        <w:t>为充分发挥电力在建筑终端清洁性、可获得性、便利性优势，沈阳“十四五”期间将逐步提高建筑用能中清洁电力消费比例，预计</w:t>
      </w:r>
      <w:r>
        <w:rPr>
          <w:rFonts w:hint="eastAsia"/>
          <w:em w:val="dot"/>
        </w:rPr>
        <w:t>到2</w:t>
      </w:r>
      <w:r>
        <w:rPr>
          <w:em w:val="dot"/>
        </w:rPr>
        <w:t>025</w:t>
      </w:r>
      <w:r>
        <w:rPr>
          <w:rFonts w:hint="eastAsia"/>
          <w:em w:val="dot"/>
        </w:rPr>
        <w:t>年</w:t>
      </w:r>
      <w:r>
        <w:rPr>
          <w:rFonts w:hint="eastAsia"/>
        </w:rPr>
        <w:t>，建筑用能电气化比例预期目标为</w:t>
      </w:r>
      <w:r>
        <w:t>55</w:t>
      </w:r>
      <w:r>
        <w:rPr>
          <w:rFonts w:hint="eastAsia"/>
        </w:rPr>
        <w:t>%，贵区县预计可至少达到_</w:t>
      </w:r>
      <w:r>
        <w:t>____</w:t>
      </w:r>
      <w:r>
        <w:rPr>
          <w:rFonts w:hint="eastAsia"/>
        </w:rPr>
        <w:t>%；最高预计可达到_</w:t>
      </w:r>
      <w:r>
        <w:t>_____</w:t>
      </w:r>
      <w:r>
        <w:rPr>
          <w:rFonts w:hint="eastAsia"/>
        </w:rPr>
        <w:t>%。</w:t>
      </w:r>
    </w:p>
    <w:p w14:paraId="3E54CFEB">
      <w:pPr>
        <w:spacing w:line="480" w:lineRule="exact"/>
      </w:pPr>
    </w:p>
    <w:p w14:paraId="34587036">
      <w:pPr>
        <w:spacing w:line="480" w:lineRule="exact"/>
      </w:pPr>
      <w:r>
        <w:rPr>
          <w:rFonts w:hint="eastAsia"/>
        </w:rPr>
        <w:t>（二）可再生能源与清洁取暖</w:t>
      </w:r>
    </w:p>
    <w:p w14:paraId="2A2E8F2F">
      <w:pPr>
        <w:spacing w:after="156" w:afterLines="50" w:line="480" w:lineRule="exact"/>
      </w:pPr>
      <w:r>
        <w:rPr>
          <w:rFonts w:hint="eastAsia"/>
        </w:rPr>
        <w:t>1、结合归去西安</w:t>
      </w:r>
      <w:r>
        <w:t>可再生能源利用与清洁取暖</w:t>
      </w:r>
      <w:r>
        <w:rPr>
          <w:rFonts w:hint="eastAsia"/>
        </w:rPr>
        <w:t>情况填写下表</w:t>
      </w:r>
      <w:r>
        <w:t>（</w:t>
      </w:r>
      <w:r>
        <w:rPr>
          <w:color w:val="FF0000"/>
        </w:rPr>
        <w:t>包括城镇及乡镇太阳能光伏光热、</w:t>
      </w:r>
      <w:r>
        <w:rPr>
          <w:rFonts w:hint="eastAsia"/>
          <w:color w:val="FF0000"/>
        </w:rPr>
        <w:t>风电</w:t>
      </w:r>
      <w:r>
        <w:rPr>
          <w:color w:val="FF0000"/>
        </w:rPr>
        <w:t>、地源热泵、工业余热、生物质能等</w:t>
      </w:r>
      <w:r>
        <w:rPr>
          <w:rFonts w:hint="eastAsia"/>
          <w:color w:val="FF0000"/>
        </w:rPr>
        <w:t>，请分别填写</w:t>
      </w:r>
      <w:r>
        <w:t>）</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13"/>
        <w:gridCol w:w="1944"/>
        <w:gridCol w:w="2083"/>
        <w:gridCol w:w="1913"/>
        <w:gridCol w:w="1202"/>
      </w:tblGrid>
      <w:tr w14:paraId="7AED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613" w:type="dxa"/>
            <w:shd w:val="clear" w:color="auto" w:fill="FFFFFF" w:themeFill="background1"/>
            <w:vAlign w:val="center"/>
          </w:tcPr>
          <w:p w14:paraId="6423C20A">
            <w:pPr>
              <w:pStyle w:val="40"/>
            </w:pPr>
            <w:r>
              <w:rPr>
                <w:rFonts w:hint="eastAsia"/>
              </w:rPr>
              <w:t>可再生能源应用类型</w:t>
            </w:r>
          </w:p>
        </w:tc>
        <w:tc>
          <w:tcPr>
            <w:tcW w:w="1944" w:type="dxa"/>
            <w:shd w:val="clear" w:color="auto" w:fill="FFFFFF" w:themeFill="background1"/>
            <w:vAlign w:val="center"/>
          </w:tcPr>
          <w:p w14:paraId="64A2330F">
            <w:pPr>
              <w:pStyle w:val="40"/>
            </w:pPr>
            <w:r>
              <w:rPr>
                <w:rFonts w:hint="eastAsia"/>
              </w:rPr>
              <w:t>项目所在地</w:t>
            </w:r>
          </w:p>
        </w:tc>
        <w:tc>
          <w:tcPr>
            <w:tcW w:w="2083" w:type="dxa"/>
            <w:shd w:val="clear" w:color="auto" w:fill="FFFFFF" w:themeFill="background1"/>
            <w:vAlign w:val="center"/>
          </w:tcPr>
          <w:p w14:paraId="27234EAD">
            <w:pPr>
              <w:pStyle w:val="40"/>
            </w:pPr>
            <w:r>
              <w:rPr>
                <w:rFonts w:hint="eastAsia"/>
              </w:rPr>
              <w:t>项目产能规模</w:t>
            </w:r>
          </w:p>
        </w:tc>
        <w:tc>
          <w:tcPr>
            <w:tcW w:w="1913" w:type="dxa"/>
            <w:shd w:val="clear" w:color="auto" w:fill="FFFFFF" w:themeFill="background1"/>
            <w:vAlign w:val="center"/>
          </w:tcPr>
          <w:p w14:paraId="72B48FE3">
            <w:pPr>
              <w:pStyle w:val="40"/>
            </w:pPr>
            <w:r>
              <w:rPr>
                <w:rFonts w:hint="eastAsia"/>
              </w:rPr>
              <w:t>其中，取暖用能占比（</w:t>
            </w:r>
            <w:r>
              <w:t>%）</w:t>
            </w:r>
          </w:p>
        </w:tc>
        <w:tc>
          <w:tcPr>
            <w:tcW w:w="1202" w:type="dxa"/>
            <w:shd w:val="clear" w:color="auto" w:fill="FFFFFF" w:themeFill="background1"/>
            <w:vAlign w:val="center"/>
          </w:tcPr>
          <w:p w14:paraId="1F82F89E">
            <w:pPr>
              <w:pStyle w:val="40"/>
            </w:pPr>
            <w:r>
              <w:rPr>
                <w:rFonts w:hint="eastAsia"/>
              </w:rPr>
              <w:t>合计（</w:t>
            </w:r>
            <w:r>
              <w:t>tce</w:t>
            </w:r>
            <w:r>
              <w:rPr>
                <w:rFonts w:hint="eastAsia"/>
              </w:rPr>
              <w:t>）</w:t>
            </w:r>
          </w:p>
        </w:tc>
      </w:tr>
      <w:tr w14:paraId="4F01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shd w:val="clear" w:color="auto" w:fill="FFFFFF" w:themeFill="background1"/>
            <w:vAlign w:val="center"/>
          </w:tcPr>
          <w:p w14:paraId="0C691048">
            <w:pPr>
              <w:pStyle w:val="40"/>
            </w:pPr>
          </w:p>
        </w:tc>
        <w:tc>
          <w:tcPr>
            <w:tcW w:w="1944" w:type="dxa"/>
            <w:shd w:val="clear" w:color="auto" w:fill="FFFFFF" w:themeFill="background1"/>
            <w:vAlign w:val="center"/>
          </w:tcPr>
          <w:p w14:paraId="7882A882">
            <w:pPr>
              <w:pStyle w:val="40"/>
            </w:pPr>
          </w:p>
        </w:tc>
        <w:tc>
          <w:tcPr>
            <w:tcW w:w="2083" w:type="dxa"/>
            <w:shd w:val="clear" w:color="auto" w:fill="FFFFFF" w:themeFill="background1"/>
            <w:vAlign w:val="center"/>
          </w:tcPr>
          <w:p w14:paraId="6F3BA7F8">
            <w:pPr>
              <w:pStyle w:val="40"/>
            </w:pPr>
          </w:p>
        </w:tc>
        <w:tc>
          <w:tcPr>
            <w:tcW w:w="1913" w:type="dxa"/>
            <w:shd w:val="clear" w:color="auto" w:fill="FFFFFF" w:themeFill="background1"/>
            <w:vAlign w:val="center"/>
          </w:tcPr>
          <w:p w14:paraId="182551B2">
            <w:pPr>
              <w:pStyle w:val="40"/>
            </w:pPr>
          </w:p>
        </w:tc>
        <w:tc>
          <w:tcPr>
            <w:tcW w:w="1202" w:type="dxa"/>
            <w:shd w:val="clear" w:color="auto" w:fill="FFFFFF" w:themeFill="background1"/>
            <w:vAlign w:val="center"/>
          </w:tcPr>
          <w:p w14:paraId="2C4D682D">
            <w:pPr>
              <w:pStyle w:val="40"/>
            </w:pPr>
          </w:p>
        </w:tc>
      </w:tr>
      <w:tr w14:paraId="2FC5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shd w:val="clear" w:color="auto" w:fill="FFFFFF" w:themeFill="background1"/>
            <w:vAlign w:val="center"/>
          </w:tcPr>
          <w:p w14:paraId="01B96102">
            <w:pPr>
              <w:pStyle w:val="40"/>
            </w:pPr>
          </w:p>
        </w:tc>
        <w:tc>
          <w:tcPr>
            <w:tcW w:w="1944" w:type="dxa"/>
            <w:shd w:val="clear" w:color="auto" w:fill="FFFFFF" w:themeFill="background1"/>
            <w:vAlign w:val="center"/>
          </w:tcPr>
          <w:p w14:paraId="12DF3853">
            <w:pPr>
              <w:pStyle w:val="40"/>
            </w:pPr>
          </w:p>
        </w:tc>
        <w:tc>
          <w:tcPr>
            <w:tcW w:w="2083" w:type="dxa"/>
            <w:shd w:val="clear" w:color="auto" w:fill="FFFFFF" w:themeFill="background1"/>
            <w:vAlign w:val="center"/>
          </w:tcPr>
          <w:p w14:paraId="1FD9CAF4">
            <w:pPr>
              <w:pStyle w:val="40"/>
            </w:pPr>
          </w:p>
        </w:tc>
        <w:tc>
          <w:tcPr>
            <w:tcW w:w="1913" w:type="dxa"/>
            <w:shd w:val="clear" w:color="auto" w:fill="FFFFFF" w:themeFill="background1"/>
            <w:vAlign w:val="center"/>
          </w:tcPr>
          <w:p w14:paraId="2437A324">
            <w:pPr>
              <w:pStyle w:val="40"/>
            </w:pPr>
          </w:p>
        </w:tc>
        <w:tc>
          <w:tcPr>
            <w:tcW w:w="1202" w:type="dxa"/>
            <w:shd w:val="clear" w:color="auto" w:fill="FFFFFF" w:themeFill="background1"/>
            <w:vAlign w:val="center"/>
          </w:tcPr>
          <w:p w14:paraId="37B171AA">
            <w:pPr>
              <w:pStyle w:val="40"/>
            </w:pPr>
          </w:p>
        </w:tc>
      </w:tr>
      <w:tr w14:paraId="1153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shd w:val="clear" w:color="auto" w:fill="FFFFFF" w:themeFill="background1"/>
            <w:vAlign w:val="center"/>
          </w:tcPr>
          <w:p w14:paraId="5CDF1448">
            <w:pPr>
              <w:pStyle w:val="40"/>
            </w:pPr>
          </w:p>
        </w:tc>
        <w:tc>
          <w:tcPr>
            <w:tcW w:w="1944" w:type="dxa"/>
            <w:shd w:val="clear" w:color="auto" w:fill="FFFFFF" w:themeFill="background1"/>
            <w:vAlign w:val="center"/>
          </w:tcPr>
          <w:p w14:paraId="463C10F3">
            <w:pPr>
              <w:pStyle w:val="40"/>
            </w:pPr>
          </w:p>
        </w:tc>
        <w:tc>
          <w:tcPr>
            <w:tcW w:w="2083" w:type="dxa"/>
            <w:shd w:val="clear" w:color="auto" w:fill="FFFFFF" w:themeFill="background1"/>
            <w:vAlign w:val="center"/>
          </w:tcPr>
          <w:p w14:paraId="4152BEB5">
            <w:pPr>
              <w:pStyle w:val="40"/>
            </w:pPr>
          </w:p>
        </w:tc>
        <w:tc>
          <w:tcPr>
            <w:tcW w:w="1913" w:type="dxa"/>
            <w:shd w:val="clear" w:color="auto" w:fill="FFFFFF" w:themeFill="background1"/>
            <w:vAlign w:val="center"/>
          </w:tcPr>
          <w:p w14:paraId="3887DF59">
            <w:pPr>
              <w:pStyle w:val="40"/>
            </w:pPr>
          </w:p>
        </w:tc>
        <w:tc>
          <w:tcPr>
            <w:tcW w:w="1202" w:type="dxa"/>
            <w:shd w:val="clear" w:color="auto" w:fill="FFFFFF" w:themeFill="background1"/>
            <w:vAlign w:val="center"/>
          </w:tcPr>
          <w:p w14:paraId="42DDAB99">
            <w:pPr>
              <w:pStyle w:val="40"/>
            </w:pPr>
          </w:p>
        </w:tc>
      </w:tr>
    </w:tbl>
    <w:p w14:paraId="2BDFEFE8">
      <w:pPr>
        <w:spacing w:line="480" w:lineRule="exact"/>
      </w:pPr>
      <w:r>
        <w:rPr>
          <w:rFonts w:hint="eastAsia"/>
        </w:rPr>
        <w:t>（三）绿色建筑与区域绿色化</w:t>
      </w:r>
    </w:p>
    <w:p w14:paraId="1CE6EB2B">
      <w:pPr>
        <w:spacing w:line="480" w:lineRule="exact"/>
      </w:pPr>
      <w:r>
        <w:rPr>
          <w:rFonts w:hint="eastAsia"/>
        </w:rPr>
        <w:t>1、新建建筑绿色建筑执行标准</w:t>
      </w:r>
    </w:p>
    <w:p w14:paraId="4FBFE5DB">
      <w:pPr>
        <w:spacing w:line="480" w:lineRule="exact"/>
      </w:pPr>
      <w:r>
        <w:rPr>
          <w:rFonts w:hint="eastAsia"/>
        </w:rPr>
        <w:t>根据沈阳市建筑节能与绿色建筑</w:t>
      </w:r>
      <w:r>
        <w:rPr>
          <w:rFonts w:hint="eastAsia"/>
          <w:lang w:eastAsia="zh-CN"/>
        </w:rPr>
        <w:t>“十四五”规划</w:t>
      </w:r>
      <w:r>
        <w:rPr>
          <w:rFonts w:hint="eastAsia"/>
        </w:rPr>
        <w:t>目标，</w:t>
      </w:r>
      <w:r>
        <w:rPr>
          <w:rFonts w:hint="eastAsia"/>
          <w:em w:val="dot"/>
        </w:rPr>
        <w:t>到2</w:t>
      </w:r>
      <w:r>
        <w:rPr>
          <w:em w:val="dot"/>
        </w:rPr>
        <w:t>025</w:t>
      </w:r>
      <w:r>
        <w:rPr>
          <w:rFonts w:hint="eastAsia"/>
          <w:em w:val="dot"/>
        </w:rPr>
        <w:t>年</w:t>
      </w:r>
      <w:r>
        <w:rPr>
          <w:rFonts w:hint="eastAsia"/>
        </w:rPr>
        <w:t>，十四五期间新建建筑将全面实现绿色建筑基本级要求，贵区县是否预期可完成该目标？_</w:t>
      </w:r>
      <w:r>
        <w:t>____</w:t>
      </w:r>
      <w:r>
        <w:rPr>
          <w:rFonts w:hint="eastAsia"/>
        </w:rPr>
        <w:t>（是/否）</w:t>
      </w:r>
    </w:p>
    <w:p w14:paraId="77D869A6">
      <w:pPr>
        <w:spacing w:line="480" w:lineRule="exact"/>
        <w:rPr>
          <w:color w:val="FF0000"/>
        </w:rPr>
      </w:pPr>
      <w:r>
        <w:rPr>
          <w:rFonts w:hint="eastAsia"/>
          <w:color w:val="FF0000"/>
        </w:rPr>
        <w:t>备注：十四五期间，根据住房城乡建设领域全文强制性工程建设规范，绿色建筑基本级标准将纳入底线控制要求，即执行强制性规范，就可实现绿色建筑基本级要求。</w:t>
      </w:r>
    </w:p>
    <w:p w14:paraId="10A3F3CE">
      <w:pPr>
        <w:spacing w:line="480" w:lineRule="exact"/>
      </w:pPr>
      <w:r>
        <w:rPr>
          <w:rFonts w:hint="eastAsia"/>
        </w:rPr>
        <w:t>2、星级绿色建筑占比</w:t>
      </w:r>
    </w:p>
    <w:p w14:paraId="1FE986E6">
      <w:pPr>
        <w:spacing w:line="480" w:lineRule="exact"/>
      </w:pPr>
      <w:r>
        <w:rPr>
          <w:rFonts w:hint="eastAsia"/>
        </w:rPr>
        <w:t>根据国家</w:t>
      </w:r>
      <w:r>
        <w:rPr>
          <w:rFonts w:hint="eastAsia"/>
          <w:lang w:eastAsia="zh-CN"/>
        </w:rPr>
        <w:t>“十四五”规划</w:t>
      </w:r>
      <w:r>
        <w:rPr>
          <w:rFonts w:hint="eastAsia"/>
        </w:rPr>
        <w:t>相关目标，到2</w:t>
      </w:r>
      <w:r>
        <w:t>025</w:t>
      </w:r>
      <w:r>
        <w:rPr>
          <w:rFonts w:hint="eastAsia"/>
        </w:rPr>
        <w:t>年，星级绿色建筑将占当年新增绿色建筑面积比例超过3</w:t>
      </w:r>
      <w:r>
        <w:t>0</w:t>
      </w:r>
      <w:r>
        <w:rPr>
          <w:rFonts w:hint="eastAsia"/>
        </w:rPr>
        <w:t>%。结合贵区县情况，预计</w:t>
      </w:r>
      <w:r>
        <w:rPr>
          <w:rFonts w:hint="eastAsia"/>
          <w:em w:val="dot"/>
        </w:rPr>
        <w:t>到2</w:t>
      </w:r>
      <w:r>
        <w:rPr>
          <w:em w:val="dot"/>
        </w:rPr>
        <w:t>025</w:t>
      </w:r>
      <w:r>
        <w:rPr>
          <w:rFonts w:hint="eastAsia"/>
          <w:em w:val="dot"/>
        </w:rPr>
        <w:t>年</w:t>
      </w:r>
      <w:r>
        <w:rPr>
          <w:rFonts w:hint="eastAsia"/>
        </w:rPr>
        <w:t>，星级绿色建筑（1、2、3星级）占新增绿色建筑面积比例</w:t>
      </w:r>
      <w:r>
        <w:rPr>
          <w:rFonts w:hint="eastAsia"/>
          <w:em w:val="dot"/>
        </w:rPr>
        <w:t>至少可达</w:t>
      </w:r>
      <w:r>
        <w:rPr>
          <w:rFonts w:hint="eastAsia"/>
        </w:rPr>
        <w:t>_</w:t>
      </w:r>
      <w:r>
        <w:t>____</w:t>
      </w:r>
      <w:r>
        <w:rPr>
          <w:rFonts w:hint="eastAsia"/>
        </w:rPr>
        <w:t>%，</w:t>
      </w:r>
      <w:r>
        <w:rPr>
          <w:rFonts w:hint="eastAsia"/>
          <w:em w:val="dot"/>
        </w:rPr>
        <w:t>最高可达</w:t>
      </w:r>
      <w:r>
        <w:rPr>
          <w:rFonts w:hint="eastAsia"/>
        </w:rPr>
        <w:t>_</w:t>
      </w:r>
      <w:r>
        <w:t>_____</w:t>
      </w:r>
      <w:r>
        <w:rPr>
          <w:rFonts w:hint="eastAsia"/>
        </w:rPr>
        <w:t>%。</w:t>
      </w:r>
    </w:p>
    <w:p w14:paraId="73EB832B">
      <w:pPr>
        <w:spacing w:line="480" w:lineRule="exact"/>
      </w:pPr>
      <w:r>
        <w:rPr>
          <w:rFonts w:hint="eastAsia"/>
        </w:rPr>
        <w:t>3、绿色建材</w:t>
      </w:r>
    </w:p>
    <w:p w14:paraId="19DC9D73">
      <w:pPr>
        <w:spacing w:line="480" w:lineRule="exact"/>
      </w:pPr>
      <w:r>
        <w:rPr>
          <w:rFonts w:hint="eastAsia"/>
        </w:rPr>
        <w:t>请简要介绍贵区县“十三五”期间绿色建材应用和推广工作情况，并阐述“十四五”期间绿色建材重点工作。</w:t>
      </w:r>
    </w:p>
    <w:p w14:paraId="541AC055">
      <w:pPr>
        <w:spacing w:line="480" w:lineRule="exact"/>
      </w:pPr>
      <w:r>
        <w:rPr>
          <w:rFonts w:hint="eastAsia"/>
        </w:rPr>
        <w:t>4、区域绿色化</w:t>
      </w:r>
    </w:p>
    <w:p w14:paraId="55F6DE21">
      <w:pPr>
        <w:spacing w:line="480" w:lineRule="exact"/>
      </w:pPr>
      <w:r>
        <w:rPr>
          <w:rFonts w:hint="eastAsia"/>
        </w:rPr>
        <w:t>十四五期间，拟在沈阳市开展2个绿色生态城区示范，请结合贵区县十四五期间预期开展的与能源、生态、绿色、低碳等相关的重大项目（可以是其他相关委办局开展的项目，存在合作开展项目示范的可能），提出潜在的具备开展绿色生态城区示范的项目。</w:t>
      </w:r>
    </w:p>
    <w:tbl>
      <w:tblPr>
        <w:tblStyle w:val="21"/>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194"/>
        <w:gridCol w:w="1298"/>
        <w:gridCol w:w="2474"/>
        <w:gridCol w:w="3057"/>
      </w:tblGrid>
      <w:tr w14:paraId="5AB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216" w:type="pct"/>
            <w:shd w:val="clear" w:color="auto" w:fill="FFFFFF" w:themeFill="background1"/>
            <w:vAlign w:val="center"/>
          </w:tcPr>
          <w:p w14:paraId="7C518870">
            <w:pPr>
              <w:pStyle w:val="40"/>
            </w:pPr>
            <w:r>
              <w:rPr>
                <w:rFonts w:hint="eastAsia"/>
              </w:rPr>
              <w:t>潜在项目</w:t>
            </w:r>
          </w:p>
        </w:tc>
        <w:tc>
          <w:tcPr>
            <w:tcW w:w="719" w:type="pct"/>
            <w:shd w:val="clear" w:color="auto" w:fill="FFFFFF" w:themeFill="background1"/>
            <w:vAlign w:val="center"/>
          </w:tcPr>
          <w:p w14:paraId="3A3F4021">
            <w:pPr>
              <w:pStyle w:val="40"/>
            </w:pPr>
            <w:r>
              <w:rPr>
                <w:rFonts w:hint="eastAsia"/>
              </w:rPr>
              <w:t>地点</w:t>
            </w:r>
          </w:p>
        </w:tc>
        <w:tc>
          <w:tcPr>
            <w:tcW w:w="1371" w:type="pct"/>
            <w:shd w:val="clear" w:color="auto" w:fill="FFFFFF" w:themeFill="background1"/>
            <w:vAlign w:val="center"/>
          </w:tcPr>
          <w:p w14:paraId="503B54F1">
            <w:pPr>
              <w:pStyle w:val="40"/>
            </w:pPr>
            <w:r>
              <w:rPr>
                <w:rFonts w:hint="eastAsia"/>
              </w:rPr>
              <w:t>预期规模</w:t>
            </w:r>
          </w:p>
        </w:tc>
        <w:tc>
          <w:tcPr>
            <w:tcW w:w="1694" w:type="pct"/>
            <w:shd w:val="clear" w:color="auto" w:fill="FFFFFF" w:themeFill="background1"/>
            <w:vAlign w:val="center"/>
          </w:tcPr>
          <w:p w14:paraId="5D118748">
            <w:pPr>
              <w:pStyle w:val="40"/>
            </w:pPr>
            <w:r>
              <w:rPr>
                <w:rFonts w:hint="eastAsia"/>
              </w:rPr>
              <w:t>项目可行性</w:t>
            </w:r>
          </w:p>
          <w:p w14:paraId="696A3903">
            <w:pPr>
              <w:pStyle w:val="40"/>
            </w:pPr>
            <w:r>
              <w:rPr>
                <w:rFonts w:hint="eastAsia"/>
              </w:rPr>
              <w:t>（资金、技术及其他条件）</w:t>
            </w:r>
          </w:p>
        </w:tc>
      </w:tr>
      <w:tr w14:paraId="2AE5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shd w:val="clear" w:color="auto" w:fill="FFFFFF" w:themeFill="background1"/>
            <w:vAlign w:val="center"/>
          </w:tcPr>
          <w:p w14:paraId="767679E4">
            <w:pPr>
              <w:pStyle w:val="40"/>
            </w:pPr>
          </w:p>
        </w:tc>
        <w:tc>
          <w:tcPr>
            <w:tcW w:w="719" w:type="pct"/>
            <w:shd w:val="clear" w:color="auto" w:fill="FFFFFF" w:themeFill="background1"/>
            <w:vAlign w:val="center"/>
          </w:tcPr>
          <w:p w14:paraId="095E758D">
            <w:pPr>
              <w:pStyle w:val="40"/>
            </w:pPr>
          </w:p>
        </w:tc>
        <w:tc>
          <w:tcPr>
            <w:tcW w:w="1371" w:type="pct"/>
            <w:shd w:val="clear" w:color="auto" w:fill="FFFFFF" w:themeFill="background1"/>
            <w:vAlign w:val="center"/>
          </w:tcPr>
          <w:p w14:paraId="4782A962">
            <w:pPr>
              <w:pStyle w:val="40"/>
            </w:pPr>
          </w:p>
        </w:tc>
        <w:tc>
          <w:tcPr>
            <w:tcW w:w="1694" w:type="pct"/>
            <w:shd w:val="clear" w:color="auto" w:fill="FFFFFF" w:themeFill="background1"/>
            <w:vAlign w:val="center"/>
          </w:tcPr>
          <w:p w14:paraId="523180CD">
            <w:pPr>
              <w:pStyle w:val="40"/>
            </w:pPr>
          </w:p>
        </w:tc>
      </w:tr>
      <w:tr w14:paraId="34FB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shd w:val="clear" w:color="auto" w:fill="FFFFFF" w:themeFill="background1"/>
            <w:vAlign w:val="center"/>
          </w:tcPr>
          <w:p w14:paraId="4AA14BC1">
            <w:pPr>
              <w:pStyle w:val="40"/>
            </w:pPr>
          </w:p>
        </w:tc>
        <w:tc>
          <w:tcPr>
            <w:tcW w:w="719" w:type="pct"/>
            <w:shd w:val="clear" w:color="auto" w:fill="FFFFFF" w:themeFill="background1"/>
            <w:vAlign w:val="center"/>
          </w:tcPr>
          <w:p w14:paraId="526D4EF6">
            <w:pPr>
              <w:pStyle w:val="40"/>
            </w:pPr>
          </w:p>
        </w:tc>
        <w:tc>
          <w:tcPr>
            <w:tcW w:w="1371" w:type="pct"/>
            <w:shd w:val="clear" w:color="auto" w:fill="FFFFFF" w:themeFill="background1"/>
            <w:vAlign w:val="center"/>
          </w:tcPr>
          <w:p w14:paraId="50896580">
            <w:pPr>
              <w:pStyle w:val="40"/>
            </w:pPr>
          </w:p>
        </w:tc>
        <w:tc>
          <w:tcPr>
            <w:tcW w:w="1694" w:type="pct"/>
            <w:shd w:val="clear" w:color="auto" w:fill="FFFFFF" w:themeFill="background1"/>
            <w:vAlign w:val="center"/>
          </w:tcPr>
          <w:p w14:paraId="630136E4">
            <w:pPr>
              <w:pStyle w:val="40"/>
            </w:pPr>
          </w:p>
        </w:tc>
      </w:tr>
      <w:tr w14:paraId="621B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shd w:val="clear" w:color="auto" w:fill="FFFFFF" w:themeFill="background1"/>
            <w:vAlign w:val="center"/>
          </w:tcPr>
          <w:p w14:paraId="05124A90">
            <w:pPr>
              <w:pStyle w:val="40"/>
            </w:pPr>
          </w:p>
        </w:tc>
        <w:tc>
          <w:tcPr>
            <w:tcW w:w="719" w:type="pct"/>
            <w:shd w:val="clear" w:color="auto" w:fill="FFFFFF" w:themeFill="background1"/>
            <w:vAlign w:val="center"/>
          </w:tcPr>
          <w:p w14:paraId="49E5B6CE">
            <w:pPr>
              <w:pStyle w:val="40"/>
            </w:pPr>
          </w:p>
        </w:tc>
        <w:tc>
          <w:tcPr>
            <w:tcW w:w="1371" w:type="pct"/>
            <w:shd w:val="clear" w:color="auto" w:fill="FFFFFF" w:themeFill="background1"/>
            <w:vAlign w:val="center"/>
          </w:tcPr>
          <w:p w14:paraId="707435A3">
            <w:pPr>
              <w:pStyle w:val="40"/>
            </w:pPr>
          </w:p>
        </w:tc>
        <w:tc>
          <w:tcPr>
            <w:tcW w:w="1694" w:type="pct"/>
            <w:shd w:val="clear" w:color="auto" w:fill="FFFFFF" w:themeFill="background1"/>
            <w:vAlign w:val="center"/>
          </w:tcPr>
          <w:p w14:paraId="77026CD0">
            <w:pPr>
              <w:pStyle w:val="40"/>
            </w:pPr>
          </w:p>
        </w:tc>
      </w:tr>
    </w:tbl>
    <w:p w14:paraId="799361C4">
      <w:pPr>
        <w:spacing w:line="480" w:lineRule="exact"/>
      </w:pPr>
      <w:r>
        <w:rPr>
          <w:rFonts w:hint="eastAsia"/>
        </w:rPr>
        <w:t>5、机制建设方面</w:t>
      </w:r>
    </w:p>
    <w:p w14:paraId="0A2827B7">
      <w:pPr>
        <w:spacing w:line="480" w:lineRule="exact"/>
      </w:pPr>
      <w:r>
        <w:rPr>
          <w:rFonts w:hint="eastAsia"/>
        </w:rPr>
        <w:t>本区县在十四五期间在绿色建筑评价、使用者监督机制建设、加强绿色建筑审查、目标责任考核等方面的建议。</w:t>
      </w:r>
    </w:p>
    <w:p w14:paraId="1F915076">
      <w:pPr>
        <w:spacing w:line="480" w:lineRule="exact"/>
      </w:pPr>
      <w:r>
        <w:rPr>
          <w:rFonts w:hint="eastAsia"/>
        </w:rPr>
        <w:t>1）绿色建筑评价</w:t>
      </w:r>
    </w:p>
    <w:p w14:paraId="4C9A0755">
      <w:pPr>
        <w:spacing w:line="480" w:lineRule="exact"/>
      </w:pPr>
      <w:r>
        <w:rPr>
          <w:rFonts w:hint="eastAsia"/>
        </w:rPr>
        <w:t>2）绿色住宅使用者监督</w:t>
      </w:r>
    </w:p>
    <w:p w14:paraId="4A70ED33">
      <w:pPr>
        <w:spacing w:line="480" w:lineRule="exact"/>
      </w:pPr>
      <w:r>
        <w:rPr>
          <w:rFonts w:hint="eastAsia"/>
        </w:rPr>
        <w:t>3）绿色建筑审查</w:t>
      </w:r>
    </w:p>
    <w:p w14:paraId="0E24B7AE">
      <w:pPr>
        <w:spacing w:line="480" w:lineRule="exact"/>
      </w:pPr>
    </w:p>
    <w:p w14:paraId="01ABA680">
      <w:pPr>
        <w:spacing w:after="156" w:afterLines="50" w:line="480" w:lineRule="exact"/>
      </w:pPr>
      <w:r>
        <w:rPr>
          <w:rFonts w:hint="eastAsia"/>
        </w:rPr>
        <w:t>（四）其他重点工程</w:t>
      </w:r>
    </w:p>
    <w:tbl>
      <w:tblPr>
        <w:tblStyle w:val="21"/>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597"/>
        <w:gridCol w:w="1152"/>
        <w:gridCol w:w="1380"/>
        <w:gridCol w:w="2710"/>
        <w:gridCol w:w="1300"/>
      </w:tblGrid>
      <w:tr w14:paraId="5388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981" w:type="pct"/>
            <w:shd w:val="clear" w:color="auto" w:fill="FFFFFF" w:themeFill="background1"/>
          </w:tcPr>
          <w:p w14:paraId="2A6D5950">
            <w:pPr>
              <w:pStyle w:val="40"/>
            </w:pPr>
            <w:r>
              <w:rPr>
                <w:rFonts w:hint="eastAsia"/>
              </w:rPr>
              <w:t>重点工程</w:t>
            </w:r>
          </w:p>
        </w:tc>
        <w:tc>
          <w:tcPr>
            <w:tcW w:w="708" w:type="pct"/>
            <w:shd w:val="clear" w:color="auto" w:fill="FFFFFF" w:themeFill="background1"/>
            <w:vAlign w:val="center"/>
          </w:tcPr>
          <w:p w14:paraId="4D9C232A">
            <w:pPr>
              <w:pStyle w:val="40"/>
            </w:pPr>
            <w:r>
              <w:rPr>
                <w:rFonts w:hint="eastAsia"/>
              </w:rPr>
              <w:t>项目名称</w:t>
            </w:r>
          </w:p>
        </w:tc>
        <w:tc>
          <w:tcPr>
            <w:tcW w:w="848" w:type="pct"/>
            <w:shd w:val="clear" w:color="auto" w:fill="FFFFFF" w:themeFill="background1"/>
            <w:vAlign w:val="center"/>
          </w:tcPr>
          <w:p w14:paraId="72ECA6F0">
            <w:pPr>
              <w:pStyle w:val="40"/>
            </w:pPr>
            <w:r>
              <w:rPr>
                <w:rFonts w:hint="eastAsia"/>
              </w:rPr>
              <w:t>项目所在地</w:t>
            </w:r>
          </w:p>
        </w:tc>
        <w:tc>
          <w:tcPr>
            <w:tcW w:w="1665" w:type="pct"/>
            <w:shd w:val="clear" w:color="auto" w:fill="FFFFFF" w:themeFill="background1"/>
            <w:vAlign w:val="center"/>
          </w:tcPr>
          <w:p w14:paraId="77A6C1F5">
            <w:pPr>
              <w:pStyle w:val="40"/>
            </w:pPr>
            <w:r>
              <w:rPr>
                <w:rFonts w:hint="eastAsia"/>
              </w:rPr>
              <w:t>项目规模与预期目标</w:t>
            </w:r>
          </w:p>
        </w:tc>
        <w:tc>
          <w:tcPr>
            <w:tcW w:w="798" w:type="pct"/>
            <w:shd w:val="clear" w:color="auto" w:fill="FFFFFF" w:themeFill="background1"/>
            <w:vAlign w:val="center"/>
          </w:tcPr>
          <w:p w14:paraId="369A7269">
            <w:pPr>
              <w:pStyle w:val="40"/>
            </w:pPr>
            <w:r>
              <w:rPr>
                <w:rFonts w:hint="eastAsia"/>
              </w:rPr>
              <w:t>备注</w:t>
            </w:r>
          </w:p>
        </w:tc>
      </w:tr>
      <w:tr w14:paraId="17B3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Merge w:val="restart"/>
            <w:shd w:val="clear" w:color="auto" w:fill="FFFFFF" w:themeFill="background1"/>
            <w:vAlign w:val="center"/>
          </w:tcPr>
          <w:p w14:paraId="256E2E9D">
            <w:pPr>
              <w:pStyle w:val="40"/>
            </w:pPr>
            <w:r>
              <w:rPr>
                <w:rFonts w:hint="eastAsia"/>
              </w:rPr>
              <w:t>再生水利用</w:t>
            </w:r>
          </w:p>
        </w:tc>
        <w:tc>
          <w:tcPr>
            <w:tcW w:w="708" w:type="pct"/>
            <w:shd w:val="clear" w:color="auto" w:fill="FFFFFF" w:themeFill="background1"/>
            <w:vAlign w:val="center"/>
          </w:tcPr>
          <w:p w14:paraId="76C23E2E">
            <w:pPr>
              <w:pStyle w:val="40"/>
            </w:pPr>
          </w:p>
        </w:tc>
        <w:tc>
          <w:tcPr>
            <w:tcW w:w="848" w:type="pct"/>
            <w:shd w:val="clear" w:color="auto" w:fill="FFFFFF" w:themeFill="background1"/>
            <w:vAlign w:val="center"/>
          </w:tcPr>
          <w:p w14:paraId="2B5A2A1F">
            <w:pPr>
              <w:pStyle w:val="40"/>
            </w:pPr>
          </w:p>
        </w:tc>
        <w:tc>
          <w:tcPr>
            <w:tcW w:w="1665" w:type="pct"/>
            <w:shd w:val="clear" w:color="auto" w:fill="FFFFFF" w:themeFill="background1"/>
            <w:vAlign w:val="center"/>
          </w:tcPr>
          <w:p w14:paraId="5659F43D">
            <w:pPr>
              <w:pStyle w:val="40"/>
            </w:pPr>
          </w:p>
        </w:tc>
        <w:tc>
          <w:tcPr>
            <w:tcW w:w="798" w:type="pct"/>
            <w:shd w:val="clear" w:color="auto" w:fill="FFFFFF" w:themeFill="background1"/>
            <w:vAlign w:val="center"/>
          </w:tcPr>
          <w:p w14:paraId="0E7D9E88">
            <w:pPr>
              <w:pStyle w:val="40"/>
            </w:pPr>
          </w:p>
        </w:tc>
      </w:tr>
      <w:tr w14:paraId="303B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981" w:type="pct"/>
            <w:vMerge w:val="continue"/>
            <w:shd w:val="clear" w:color="auto" w:fill="FFFFFF" w:themeFill="background1"/>
            <w:vAlign w:val="center"/>
          </w:tcPr>
          <w:p w14:paraId="4AA06437">
            <w:pPr>
              <w:pStyle w:val="40"/>
            </w:pPr>
          </w:p>
        </w:tc>
        <w:tc>
          <w:tcPr>
            <w:tcW w:w="708" w:type="pct"/>
            <w:shd w:val="clear" w:color="auto" w:fill="FFFFFF" w:themeFill="background1"/>
            <w:vAlign w:val="center"/>
          </w:tcPr>
          <w:p w14:paraId="7C78712D">
            <w:pPr>
              <w:pStyle w:val="40"/>
            </w:pPr>
          </w:p>
        </w:tc>
        <w:tc>
          <w:tcPr>
            <w:tcW w:w="848" w:type="pct"/>
            <w:shd w:val="clear" w:color="auto" w:fill="FFFFFF" w:themeFill="background1"/>
            <w:vAlign w:val="center"/>
          </w:tcPr>
          <w:p w14:paraId="60762049">
            <w:pPr>
              <w:pStyle w:val="40"/>
            </w:pPr>
          </w:p>
        </w:tc>
        <w:tc>
          <w:tcPr>
            <w:tcW w:w="1665" w:type="pct"/>
            <w:shd w:val="clear" w:color="auto" w:fill="FFFFFF" w:themeFill="background1"/>
            <w:vAlign w:val="center"/>
          </w:tcPr>
          <w:p w14:paraId="3AFA295A">
            <w:pPr>
              <w:pStyle w:val="40"/>
            </w:pPr>
          </w:p>
        </w:tc>
        <w:tc>
          <w:tcPr>
            <w:tcW w:w="798" w:type="pct"/>
            <w:shd w:val="clear" w:color="auto" w:fill="FFFFFF" w:themeFill="background1"/>
            <w:vAlign w:val="center"/>
          </w:tcPr>
          <w:p w14:paraId="2FD5A9A7">
            <w:pPr>
              <w:pStyle w:val="40"/>
            </w:pPr>
          </w:p>
        </w:tc>
      </w:tr>
      <w:tr w14:paraId="506A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Merge w:val="continue"/>
            <w:shd w:val="clear" w:color="auto" w:fill="FFFFFF" w:themeFill="background1"/>
            <w:vAlign w:val="center"/>
          </w:tcPr>
          <w:p w14:paraId="6D491BB9">
            <w:pPr>
              <w:pStyle w:val="40"/>
            </w:pPr>
          </w:p>
        </w:tc>
        <w:tc>
          <w:tcPr>
            <w:tcW w:w="708" w:type="pct"/>
            <w:shd w:val="clear" w:color="auto" w:fill="FFFFFF" w:themeFill="background1"/>
            <w:vAlign w:val="center"/>
          </w:tcPr>
          <w:p w14:paraId="15973AD4">
            <w:pPr>
              <w:pStyle w:val="40"/>
            </w:pPr>
          </w:p>
        </w:tc>
        <w:tc>
          <w:tcPr>
            <w:tcW w:w="848" w:type="pct"/>
            <w:shd w:val="clear" w:color="auto" w:fill="FFFFFF" w:themeFill="background1"/>
            <w:vAlign w:val="center"/>
          </w:tcPr>
          <w:p w14:paraId="6BEB547A">
            <w:pPr>
              <w:pStyle w:val="40"/>
            </w:pPr>
          </w:p>
        </w:tc>
        <w:tc>
          <w:tcPr>
            <w:tcW w:w="1665" w:type="pct"/>
            <w:shd w:val="clear" w:color="auto" w:fill="FFFFFF" w:themeFill="background1"/>
            <w:vAlign w:val="center"/>
          </w:tcPr>
          <w:p w14:paraId="6B8EA504">
            <w:pPr>
              <w:pStyle w:val="40"/>
            </w:pPr>
          </w:p>
        </w:tc>
        <w:tc>
          <w:tcPr>
            <w:tcW w:w="798" w:type="pct"/>
            <w:shd w:val="clear" w:color="auto" w:fill="FFFFFF" w:themeFill="background1"/>
            <w:vAlign w:val="center"/>
          </w:tcPr>
          <w:p w14:paraId="04128FD2">
            <w:pPr>
              <w:pStyle w:val="40"/>
            </w:pPr>
          </w:p>
        </w:tc>
      </w:tr>
      <w:tr w14:paraId="693A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Merge w:val="restart"/>
            <w:shd w:val="clear" w:color="auto" w:fill="FFFFFF" w:themeFill="background1"/>
            <w:vAlign w:val="center"/>
          </w:tcPr>
          <w:p w14:paraId="0E7EC2ED">
            <w:pPr>
              <w:pStyle w:val="40"/>
            </w:pPr>
            <w:r>
              <w:rPr>
                <w:rFonts w:hint="eastAsia"/>
              </w:rPr>
              <w:t>宜居农村建设</w:t>
            </w:r>
          </w:p>
        </w:tc>
        <w:tc>
          <w:tcPr>
            <w:tcW w:w="708" w:type="pct"/>
            <w:shd w:val="clear" w:color="auto" w:fill="FFFFFF" w:themeFill="background1"/>
            <w:vAlign w:val="center"/>
          </w:tcPr>
          <w:p w14:paraId="71FE67C1">
            <w:pPr>
              <w:pStyle w:val="40"/>
            </w:pPr>
          </w:p>
        </w:tc>
        <w:tc>
          <w:tcPr>
            <w:tcW w:w="848" w:type="pct"/>
            <w:shd w:val="clear" w:color="auto" w:fill="FFFFFF" w:themeFill="background1"/>
            <w:vAlign w:val="center"/>
          </w:tcPr>
          <w:p w14:paraId="5C7E9A3E">
            <w:pPr>
              <w:pStyle w:val="40"/>
            </w:pPr>
          </w:p>
        </w:tc>
        <w:tc>
          <w:tcPr>
            <w:tcW w:w="1665" w:type="pct"/>
            <w:shd w:val="clear" w:color="auto" w:fill="FFFFFF" w:themeFill="background1"/>
            <w:vAlign w:val="center"/>
          </w:tcPr>
          <w:p w14:paraId="6F1A66FA">
            <w:pPr>
              <w:pStyle w:val="40"/>
            </w:pPr>
          </w:p>
        </w:tc>
        <w:tc>
          <w:tcPr>
            <w:tcW w:w="798" w:type="pct"/>
            <w:shd w:val="clear" w:color="auto" w:fill="FFFFFF" w:themeFill="background1"/>
            <w:vAlign w:val="center"/>
          </w:tcPr>
          <w:p w14:paraId="7946521D">
            <w:pPr>
              <w:pStyle w:val="40"/>
            </w:pPr>
          </w:p>
        </w:tc>
      </w:tr>
      <w:tr w14:paraId="6DF1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Merge w:val="continue"/>
            <w:shd w:val="clear" w:color="auto" w:fill="FFFFFF" w:themeFill="background1"/>
            <w:vAlign w:val="center"/>
          </w:tcPr>
          <w:p w14:paraId="1F07AF5E">
            <w:pPr>
              <w:pStyle w:val="40"/>
            </w:pPr>
          </w:p>
        </w:tc>
        <w:tc>
          <w:tcPr>
            <w:tcW w:w="708" w:type="pct"/>
            <w:shd w:val="clear" w:color="auto" w:fill="FFFFFF" w:themeFill="background1"/>
            <w:vAlign w:val="center"/>
          </w:tcPr>
          <w:p w14:paraId="45526D41">
            <w:pPr>
              <w:pStyle w:val="40"/>
            </w:pPr>
          </w:p>
        </w:tc>
        <w:tc>
          <w:tcPr>
            <w:tcW w:w="848" w:type="pct"/>
            <w:shd w:val="clear" w:color="auto" w:fill="FFFFFF" w:themeFill="background1"/>
            <w:vAlign w:val="center"/>
          </w:tcPr>
          <w:p w14:paraId="2C649FFD">
            <w:pPr>
              <w:pStyle w:val="40"/>
            </w:pPr>
          </w:p>
        </w:tc>
        <w:tc>
          <w:tcPr>
            <w:tcW w:w="1665" w:type="pct"/>
            <w:shd w:val="clear" w:color="auto" w:fill="FFFFFF" w:themeFill="background1"/>
            <w:vAlign w:val="center"/>
          </w:tcPr>
          <w:p w14:paraId="347F737F">
            <w:pPr>
              <w:pStyle w:val="40"/>
            </w:pPr>
          </w:p>
        </w:tc>
        <w:tc>
          <w:tcPr>
            <w:tcW w:w="798" w:type="pct"/>
            <w:shd w:val="clear" w:color="auto" w:fill="FFFFFF" w:themeFill="background1"/>
            <w:vAlign w:val="center"/>
          </w:tcPr>
          <w:p w14:paraId="25661BCB">
            <w:pPr>
              <w:pStyle w:val="40"/>
            </w:pPr>
          </w:p>
        </w:tc>
      </w:tr>
      <w:tr w14:paraId="118B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Merge w:val="continue"/>
            <w:shd w:val="clear" w:color="auto" w:fill="FFFFFF" w:themeFill="background1"/>
            <w:vAlign w:val="center"/>
          </w:tcPr>
          <w:p w14:paraId="64DFC6CA">
            <w:pPr>
              <w:pStyle w:val="40"/>
            </w:pPr>
          </w:p>
        </w:tc>
        <w:tc>
          <w:tcPr>
            <w:tcW w:w="708" w:type="pct"/>
            <w:shd w:val="clear" w:color="auto" w:fill="FFFFFF" w:themeFill="background1"/>
            <w:vAlign w:val="center"/>
          </w:tcPr>
          <w:p w14:paraId="3BA2599E">
            <w:pPr>
              <w:pStyle w:val="40"/>
            </w:pPr>
          </w:p>
        </w:tc>
        <w:tc>
          <w:tcPr>
            <w:tcW w:w="848" w:type="pct"/>
            <w:shd w:val="clear" w:color="auto" w:fill="FFFFFF" w:themeFill="background1"/>
            <w:vAlign w:val="center"/>
          </w:tcPr>
          <w:p w14:paraId="78B6944B">
            <w:pPr>
              <w:pStyle w:val="40"/>
            </w:pPr>
          </w:p>
        </w:tc>
        <w:tc>
          <w:tcPr>
            <w:tcW w:w="1665" w:type="pct"/>
            <w:shd w:val="clear" w:color="auto" w:fill="FFFFFF" w:themeFill="background1"/>
            <w:vAlign w:val="center"/>
          </w:tcPr>
          <w:p w14:paraId="79AD6242">
            <w:pPr>
              <w:pStyle w:val="40"/>
            </w:pPr>
          </w:p>
        </w:tc>
        <w:tc>
          <w:tcPr>
            <w:tcW w:w="798" w:type="pct"/>
            <w:shd w:val="clear" w:color="auto" w:fill="FFFFFF" w:themeFill="background1"/>
            <w:vAlign w:val="center"/>
          </w:tcPr>
          <w:p w14:paraId="675D2162">
            <w:pPr>
              <w:pStyle w:val="40"/>
            </w:pPr>
          </w:p>
        </w:tc>
      </w:tr>
      <w:tr w14:paraId="1150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Merge w:val="restart"/>
            <w:shd w:val="clear" w:color="auto" w:fill="FFFFFF" w:themeFill="background1"/>
            <w:vAlign w:val="center"/>
          </w:tcPr>
          <w:p w14:paraId="2DC09C6E">
            <w:pPr>
              <w:pStyle w:val="40"/>
            </w:pPr>
            <w:r>
              <w:rPr>
                <w:rFonts w:hint="eastAsia"/>
              </w:rPr>
              <w:t>健康住宅工作推进</w:t>
            </w:r>
          </w:p>
        </w:tc>
        <w:tc>
          <w:tcPr>
            <w:tcW w:w="708" w:type="pct"/>
            <w:shd w:val="clear" w:color="auto" w:fill="FFFFFF" w:themeFill="background1"/>
            <w:vAlign w:val="center"/>
          </w:tcPr>
          <w:p w14:paraId="50D6291C">
            <w:pPr>
              <w:pStyle w:val="40"/>
            </w:pPr>
          </w:p>
        </w:tc>
        <w:tc>
          <w:tcPr>
            <w:tcW w:w="848" w:type="pct"/>
            <w:shd w:val="clear" w:color="auto" w:fill="FFFFFF" w:themeFill="background1"/>
            <w:vAlign w:val="center"/>
          </w:tcPr>
          <w:p w14:paraId="1BC7DEC2">
            <w:pPr>
              <w:pStyle w:val="40"/>
            </w:pPr>
          </w:p>
        </w:tc>
        <w:tc>
          <w:tcPr>
            <w:tcW w:w="1665" w:type="pct"/>
            <w:shd w:val="clear" w:color="auto" w:fill="FFFFFF" w:themeFill="background1"/>
            <w:vAlign w:val="center"/>
          </w:tcPr>
          <w:p w14:paraId="6491562A">
            <w:pPr>
              <w:pStyle w:val="40"/>
            </w:pPr>
          </w:p>
        </w:tc>
        <w:tc>
          <w:tcPr>
            <w:tcW w:w="798" w:type="pct"/>
            <w:shd w:val="clear" w:color="auto" w:fill="FFFFFF" w:themeFill="background1"/>
            <w:vAlign w:val="center"/>
          </w:tcPr>
          <w:p w14:paraId="3F6BB32B">
            <w:pPr>
              <w:pStyle w:val="40"/>
            </w:pPr>
          </w:p>
        </w:tc>
      </w:tr>
      <w:tr w14:paraId="661D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Merge w:val="continue"/>
            <w:shd w:val="clear" w:color="auto" w:fill="FFFFFF" w:themeFill="background1"/>
            <w:vAlign w:val="center"/>
          </w:tcPr>
          <w:p w14:paraId="3D52946A">
            <w:pPr>
              <w:pStyle w:val="40"/>
            </w:pPr>
          </w:p>
        </w:tc>
        <w:tc>
          <w:tcPr>
            <w:tcW w:w="708" w:type="pct"/>
            <w:shd w:val="clear" w:color="auto" w:fill="FFFFFF" w:themeFill="background1"/>
            <w:vAlign w:val="center"/>
          </w:tcPr>
          <w:p w14:paraId="196E5D22">
            <w:pPr>
              <w:pStyle w:val="40"/>
            </w:pPr>
          </w:p>
        </w:tc>
        <w:tc>
          <w:tcPr>
            <w:tcW w:w="848" w:type="pct"/>
            <w:shd w:val="clear" w:color="auto" w:fill="FFFFFF" w:themeFill="background1"/>
            <w:vAlign w:val="center"/>
          </w:tcPr>
          <w:p w14:paraId="59265B6A">
            <w:pPr>
              <w:pStyle w:val="40"/>
            </w:pPr>
          </w:p>
        </w:tc>
        <w:tc>
          <w:tcPr>
            <w:tcW w:w="1665" w:type="pct"/>
            <w:shd w:val="clear" w:color="auto" w:fill="FFFFFF" w:themeFill="background1"/>
            <w:vAlign w:val="center"/>
          </w:tcPr>
          <w:p w14:paraId="30335E49">
            <w:pPr>
              <w:pStyle w:val="40"/>
            </w:pPr>
          </w:p>
        </w:tc>
        <w:tc>
          <w:tcPr>
            <w:tcW w:w="798" w:type="pct"/>
            <w:shd w:val="clear" w:color="auto" w:fill="FFFFFF" w:themeFill="background1"/>
            <w:vAlign w:val="center"/>
          </w:tcPr>
          <w:p w14:paraId="21639EBB">
            <w:pPr>
              <w:pStyle w:val="40"/>
            </w:pPr>
          </w:p>
        </w:tc>
      </w:tr>
      <w:tr w14:paraId="2CAD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Merge w:val="continue"/>
            <w:shd w:val="clear" w:color="auto" w:fill="FFFFFF" w:themeFill="background1"/>
            <w:vAlign w:val="center"/>
          </w:tcPr>
          <w:p w14:paraId="09B4B3DC">
            <w:pPr>
              <w:pStyle w:val="40"/>
            </w:pPr>
          </w:p>
        </w:tc>
        <w:tc>
          <w:tcPr>
            <w:tcW w:w="708" w:type="pct"/>
            <w:shd w:val="clear" w:color="auto" w:fill="FFFFFF" w:themeFill="background1"/>
            <w:vAlign w:val="center"/>
          </w:tcPr>
          <w:p w14:paraId="1669B633">
            <w:pPr>
              <w:pStyle w:val="40"/>
            </w:pPr>
          </w:p>
        </w:tc>
        <w:tc>
          <w:tcPr>
            <w:tcW w:w="848" w:type="pct"/>
            <w:shd w:val="clear" w:color="auto" w:fill="FFFFFF" w:themeFill="background1"/>
            <w:vAlign w:val="center"/>
          </w:tcPr>
          <w:p w14:paraId="427F9762">
            <w:pPr>
              <w:pStyle w:val="40"/>
            </w:pPr>
          </w:p>
        </w:tc>
        <w:tc>
          <w:tcPr>
            <w:tcW w:w="1665" w:type="pct"/>
            <w:shd w:val="clear" w:color="auto" w:fill="FFFFFF" w:themeFill="background1"/>
            <w:vAlign w:val="center"/>
          </w:tcPr>
          <w:p w14:paraId="5CF22631">
            <w:pPr>
              <w:pStyle w:val="40"/>
            </w:pPr>
          </w:p>
        </w:tc>
        <w:tc>
          <w:tcPr>
            <w:tcW w:w="798" w:type="pct"/>
            <w:shd w:val="clear" w:color="auto" w:fill="FFFFFF" w:themeFill="background1"/>
            <w:vAlign w:val="center"/>
          </w:tcPr>
          <w:p w14:paraId="60B309B7">
            <w:pPr>
              <w:pStyle w:val="40"/>
            </w:pPr>
          </w:p>
        </w:tc>
      </w:tr>
    </w:tbl>
    <w:p w14:paraId="2734D80F">
      <w:pPr>
        <w:spacing w:line="480" w:lineRule="exact"/>
        <w:jc w:val="center"/>
      </w:pPr>
    </w:p>
    <w:p w14:paraId="4EB5BC09">
      <w:pPr>
        <w:spacing w:line="480" w:lineRule="exact"/>
        <w:jc w:val="center"/>
      </w:pPr>
    </w:p>
    <w:p w14:paraId="610191A9">
      <w:pPr>
        <w:spacing w:line="480" w:lineRule="exact"/>
      </w:pPr>
      <w:r>
        <w:rPr>
          <w:rFonts w:hint="eastAsia"/>
        </w:rPr>
        <w:t>（五）市场机制、激励政策</w:t>
      </w:r>
    </w:p>
    <w:p w14:paraId="36B5A712">
      <w:pPr>
        <w:spacing w:line="480" w:lineRule="exact"/>
      </w:pPr>
      <w:r>
        <w:rPr>
          <w:rFonts w:hint="eastAsia"/>
        </w:rPr>
        <w:t>1、贵区县现有建筑节能与绿色建筑激励政策情况？具有哪些好的经验？下一步的工作方向是什么？</w:t>
      </w:r>
    </w:p>
    <w:p w14:paraId="37035DB3">
      <w:pPr>
        <w:spacing w:line="480" w:lineRule="exact"/>
      </w:pPr>
      <w:r>
        <w:rPr>
          <w:rFonts w:hint="eastAsia"/>
        </w:rPr>
        <w:t>2、贵区县是否有意愿合作推进绿色金融、绿色保险的试点？是否已开展过相关试点，如果有，请简要介绍。</w:t>
      </w:r>
    </w:p>
    <w:p w14:paraId="5869B79F">
      <w:pPr>
        <w:spacing w:line="480" w:lineRule="exact"/>
      </w:pPr>
      <w:r>
        <w:rPr>
          <w:rFonts w:hint="eastAsia"/>
        </w:rPr>
        <w:t>3、贵区县是否有意愿促进建筑领域碳交易？</w:t>
      </w:r>
    </w:p>
    <w:p w14:paraId="5D2893B1">
      <w:pPr>
        <w:spacing w:line="480" w:lineRule="exact"/>
      </w:pPr>
      <w:r>
        <w:rPr>
          <w:rFonts w:hint="eastAsia"/>
        </w:rPr>
        <w:t>4、对建筑节能低碳、绿色建筑相关人才培养的下一步工作方向？</w:t>
      </w:r>
    </w:p>
    <w:p w14:paraId="0F3BD542">
      <w:pPr>
        <w:spacing w:line="480" w:lineRule="exact"/>
      </w:pPr>
    </w:p>
    <w:p w14:paraId="50ED2E83">
      <w:pPr>
        <w:widowControl/>
        <w:suppressAutoHyphens w:val="0"/>
        <w:spacing w:line="240" w:lineRule="auto"/>
        <w:ind w:firstLine="0" w:firstLineChars="0"/>
        <w:jc w:val="left"/>
      </w:pPr>
      <w:r>
        <w:br w:type="page"/>
      </w:r>
    </w:p>
    <w:p w14:paraId="52DE5AF9">
      <w:pPr>
        <w:pStyle w:val="40"/>
      </w:pPr>
      <w:bookmarkStart w:id="91" w:name="_Toc76743868"/>
      <w:r>
        <w:rPr>
          <w:rFonts w:hint="eastAsia"/>
        </w:rPr>
        <w:t>附件二 沈阳市建筑能耗数据测算与预测</w:t>
      </w:r>
      <w:bookmarkEnd w:id="91"/>
    </w:p>
    <w:p w14:paraId="2EDA7C9F">
      <w:pPr>
        <w:pStyle w:val="57"/>
        <w:numPr>
          <w:ilvl w:val="0"/>
          <w:numId w:val="19"/>
        </w:numPr>
      </w:pPr>
      <w:r>
        <w:rPr>
          <w:rFonts w:hint="eastAsia"/>
        </w:rPr>
        <w:t>建筑面积测算</w:t>
      </w:r>
    </w:p>
    <w:p w14:paraId="511F4B4E">
      <w:r>
        <w:rPr>
          <w:rFonts w:hint="eastAsia"/>
        </w:rPr>
        <w:t>建筑面积总量由公共建筑面积、城镇居住建筑面积、农村居住建筑面积加总得到，即：</w:t>
      </w:r>
    </w:p>
    <w:p w14:paraId="5441BB6C">
      <w:pPr>
        <w:jc w:val="right"/>
        <w:rPr>
          <w:color w:val="000000"/>
          <w:szCs w:val="24"/>
        </w:rPr>
      </w:pPr>
      <m:oMath>
        <m:r>
          <m:rPr/>
          <w:rPr>
            <w:rFonts w:ascii="Cambria Math" w:hAnsi="Cambria Math" w:eastAsia="宋体"/>
            <w:color w:val="000000"/>
            <w:szCs w:val="24"/>
          </w:rPr>
          <m:t>S =</m:t>
        </m:r>
        <m:sSub>
          <m:sSubPr>
            <m:ctrlPr>
              <w:rPr>
                <w:rFonts w:ascii="Cambria Math" w:hAnsi="Cambria Math" w:eastAsia="宋体"/>
                <w:i/>
                <w:color w:val="000000"/>
                <w:szCs w:val="24"/>
              </w:rPr>
            </m:ctrlPr>
          </m:sSubPr>
          <m:e>
            <m:r>
              <m:rPr/>
              <w:rPr>
                <w:rFonts w:ascii="Cambria Math" w:hAnsi="Cambria Math" w:eastAsia="宋体"/>
                <w:color w:val="000000"/>
                <w:szCs w:val="24"/>
              </w:rPr>
              <m:t>S</m:t>
            </m:r>
            <m:ctrlPr>
              <w:rPr>
                <w:rFonts w:ascii="Cambria Math" w:hAnsi="Cambria Math" w:eastAsia="宋体"/>
                <w:i/>
                <w:color w:val="000000"/>
                <w:szCs w:val="24"/>
              </w:rPr>
            </m:ctrlPr>
          </m:e>
          <m:sub>
            <m:r>
              <m:rPr/>
              <w:rPr>
                <w:rFonts w:hint="eastAsia" w:ascii="Cambria Math" w:hAnsi="Cambria Math" w:eastAsia="宋体"/>
                <w:color w:val="000000"/>
                <w:szCs w:val="24"/>
              </w:rPr>
              <m:t>公建</m:t>
            </m:r>
            <m:ctrlPr>
              <w:rPr>
                <w:rFonts w:ascii="Cambria Math" w:hAnsi="Cambria Math" w:eastAsia="宋体"/>
                <w:i/>
                <w:color w:val="000000"/>
                <w:szCs w:val="24"/>
              </w:rPr>
            </m:ctrlPr>
          </m:sub>
        </m:sSub>
        <m:r>
          <m:rPr/>
          <w:rPr>
            <w:rFonts w:ascii="Cambria Math" w:hAnsi="Cambria Math" w:eastAsia="宋体"/>
            <w:color w:val="000000"/>
            <w:szCs w:val="24"/>
          </w:rPr>
          <m:t>+</m:t>
        </m:r>
        <m:sSub>
          <m:sSubPr>
            <m:ctrlPr>
              <w:rPr>
                <w:rFonts w:ascii="Cambria Math" w:hAnsi="Cambria Math" w:eastAsia="宋体"/>
                <w:i/>
                <w:color w:val="000000"/>
                <w:szCs w:val="24"/>
              </w:rPr>
            </m:ctrlPr>
          </m:sSubPr>
          <m:e>
            <m:r>
              <m:rPr/>
              <w:rPr>
                <w:rFonts w:ascii="Cambria Math" w:hAnsi="Cambria Math" w:eastAsia="宋体"/>
                <w:color w:val="000000"/>
                <w:szCs w:val="24"/>
              </w:rPr>
              <m:t>S</m:t>
            </m:r>
            <m:ctrlPr>
              <w:rPr>
                <w:rFonts w:ascii="Cambria Math" w:hAnsi="Cambria Math" w:eastAsia="宋体"/>
                <w:i/>
                <w:color w:val="000000"/>
                <w:szCs w:val="24"/>
              </w:rPr>
            </m:ctrlPr>
          </m:e>
          <m:sub>
            <m:r>
              <m:rPr/>
              <w:rPr>
                <w:rFonts w:hint="eastAsia" w:ascii="Cambria Math" w:hAnsi="Cambria Math" w:eastAsia="宋体"/>
                <w:color w:val="000000"/>
                <w:szCs w:val="24"/>
              </w:rPr>
              <m:t>城镇居建</m:t>
            </m:r>
            <m:ctrlPr>
              <w:rPr>
                <w:rFonts w:ascii="Cambria Math" w:hAnsi="Cambria Math" w:eastAsia="宋体"/>
                <w:i/>
                <w:color w:val="000000"/>
                <w:szCs w:val="24"/>
              </w:rPr>
            </m:ctrlPr>
          </m:sub>
        </m:sSub>
        <m:r>
          <m:rPr/>
          <w:rPr>
            <w:rFonts w:ascii="Cambria Math" w:hAnsi="Cambria Math" w:eastAsia="宋体"/>
            <w:color w:val="000000"/>
            <w:szCs w:val="24"/>
          </w:rPr>
          <m:t>+</m:t>
        </m:r>
        <m:sSub>
          <m:sSubPr>
            <m:ctrlPr>
              <w:rPr>
                <w:rFonts w:ascii="Cambria Math" w:hAnsi="Cambria Math" w:eastAsia="宋体"/>
                <w:i/>
                <w:color w:val="000000"/>
                <w:szCs w:val="24"/>
              </w:rPr>
            </m:ctrlPr>
          </m:sSubPr>
          <m:e>
            <m:r>
              <m:rPr/>
              <w:rPr>
                <w:rFonts w:ascii="Cambria Math" w:hAnsi="Cambria Math" w:eastAsia="宋体"/>
                <w:color w:val="000000"/>
                <w:szCs w:val="24"/>
              </w:rPr>
              <m:t>S</m:t>
            </m:r>
            <m:ctrlPr>
              <w:rPr>
                <w:rFonts w:ascii="Cambria Math" w:hAnsi="Cambria Math" w:eastAsia="宋体"/>
                <w:i/>
                <w:color w:val="000000"/>
                <w:szCs w:val="24"/>
              </w:rPr>
            </m:ctrlPr>
          </m:e>
          <m:sub>
            <m:r>
              <m:rPr/>
              <w:rPr>
                <w:rFonts w:hint="eastAsia" w:ascii="Cambria Math" w:hAnsi="Cambria Math" w:eastAsia="宋体"/>
                <w:color w:val="000000"/>
                <w:szCs w:val="24"/>
              </w:rPr>
              <m:t>农村居建</m:t>
            </m:r>
            <m:ctrlPr>
              <w:rPr>
                <w:rFonts w:ascii="Cambria Math" w:hAnsi="Cambria Math" w:eastAsia="宋体"/>
                <w:i/>
                <w:color w:val="000000"/>
                <w:szCs w:val="24"/>
              </w:rPr>
            </m:ctrlPr>
          </m:sub>
        </m:sSub>
      </m:oMath>
      <w:r>
        <w:rPr>
          <w:rFonts w:hint="eastAsia"/>
          <w:color w:val="000000"/>
          <w:szCs w:val="24"/>
        </w:rPr>
        <w:t xml:space="preserve"> </w:t>
      </w:r>
      <w:r>
        <w:rPr>
          <w:color w:val="000000"/>
          <w:szCs w:val="24"/>
        </w:rPr>
        <w:t xml:space="preserve">            </w:t>
      </w:r>
      <w:r>
        <w:rPr>
          <w:rFonts w:ascii="Times New Roman" w:hAnsi="Times New Roman" w:eastAsia="宋体"/>
          <w:szCs w:val="24"/>
        </w:rPr>
        <w:t>（A-1）</w:t>
      </w:r>
    </w:p>
    <w:p w14:paraId="48596F35">
      <w:r>
        <w:rPr>
          <w:rFonts w:hint="eastAsia"/>
        </w:rPr>
        <w:t>沈阳市建筑面积有两组统计数据，分别来自《中国城市建设统计年鉴》中的沈阳市城市供热数据中的供热面积数，以及《沈阳市统计手册》中城镇居民现住房人均建筑面积和农村居民现住房人均建筑面积数据。</w:t>
      </w:r>
    </w:p>
    <w:p w14:paraId="4B8652D3">
      <w:pPr>
        <w:jc w:val="center"/>
      </w:pPr>
      <w:r>
        <w:drawing>
          <wp:inline distT="0" distB="0" distL="0" distR="0">
            <wp:extent cx="5274310" cy="22606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0B13003">
      <w:r>
        <w:rPr>
          <w:rFonts w:hint="eastAsia"/>
        </w:rPr>
        <w:t>图</w:t>
      </w:r>
      <w:r>
        <w:t>8-1 沈阳市历年住房人均建筑面积（平方米/人）</w:t>
      </w:r>
    </w:p>
    <w:p w14:paraId="44A162B9">
      <w:pPr>
        <w:jc w:val="center"/>
      </w:pPr>
      <w:r>
        <w:drawing>
          <wp:inline distT="0" distB="0" distL="0" distR="0">
            <wp:extent cx="5274310" cy="228981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6938017">
      <w:r>
        <w:rPr>
          <w:rFonts w:hint="eastAsia"/>
        </w:rPr>
        <w:t>图</w:t>
      </w:r>
      <w:r>
        <w:t>8-2 沈阳市历年人口数据（万人）</w:t>
      </w:r>
    </w:p>
    <w:p w14:paraId="5DB527CF"/>
    <w:p w14:paraId="28217D0E">
      <w:r>
        <w:rPr>
          <w:rFonts w:hint="eastAsia"/>
        </w:rPr>
        <w:t>由于基于《沈阳市统计手册》中城镇居民现住房人均建筑面积与城镇居民总人口数的乘积所得的建筑面积结果，远远小于《中国城市建设统计年鉴》中的沈阳市城市供热数据中的城市供热面积数据，本研究采用《中国城市建设统计年鉴》中的沈阳市城市供热面积的住宅供热面积数据作为沈阳市城镇居住建筑面积。将总供热面积减去住宅供热面积的差值作为沈阳市的公共建筑面积。此外，统计年鉴缺少沈阳市的农村建筑数据，本研究仍采用农村居民现住房人均建筑面积乘以农村总人口数的结果作为沈阳市农村居住建筑面积.</w:t>
      </w:r>
    </w:p>
    <w:p w14:paraId="6597100C">
      <w:r>
        <w:rPr>
          <w:rFonts w:hint="eastAsia"/>
        </w:rPr>
        <w:t>基于《沈阳市统计手册》中住宅、办公楼、商业营业用房与其他建筑类型的年竣工面积数据，预测沈阳市“十四五”期间的建筑面积。</w:t>
      </w:r>
    </w:p>
    <w:p w14:paraId="32D1E372">
      <w:r>
        <w:rPr>
          <w:rFonts w:hint="eastAsia"/>
        </w:rPr>
        <w:t>建筑面积测算与预测结果如下：</w:t>
      </w:r>
    </w:p>
    <w:p w14:paraId="18188D3A">
      <w:r>
        <w:rPr>
          <w:rFonts w:hint="eastAsia"/>
        </w:rPr>
        <w:t>表8-</w:t>
      </w:r>
      <w:r>
        <w:t xml:space="preserve">1 </w:t>
      </w:r>
      <w:r>
        <w:rPr>
          <w:rFonts w:hint="eastAsia"/>
        </w:rPr>
        <w:t>沈阳市建筑面积测算与预测结果（单位：万平方米）</w:t>
      </w:r>
    </w:p>
    <w:tbl>
      <w:tblPr>
        <w:tblStyle w:val="20"/>
        <w:tblW w:w="5000" w:type="pct"/>
        <w:tblInd w:w="0" w:type="dxa"/>
        <w:tblLayout w:type="autofit"/>
        <w:tblCellMar>
          <w:top w:w="0" w:type="dxa"/>
          <w:left w:w="108" w:type="dxa"/>
          <w:bottom w:w="0" w:type="dxa"/>
          <w:right w:w="108" w:type="dxa"/>
        </w:tblCellMar>
      </w:tblPr>
      <w:tblGrid>
        <w:gridCol w:w="1420"/>
        <w:gridCol w:w="1420"/>
        <w:gridCol w:w="1420"/>
        <w:gridCol w:w="1420"/>
        <w:gridCol w:w="1421"/>
        <w:gridCol w:w="1421"/>
      </w:tblGrid>
      <w:tr w14:paraId="528E2E03">
        <w:tblPrEx>
          <w:tblCellMar>
            <w:top w:w="0" w:type="dxa"/>
            <w:left w:w="108" w:type="dxa"/>
            <w:bottom w:w="0" w:type="dxa"/>
            <w:right w:w="108" w:type="dxa"/>
          </w:tblCellMar>
        </w:tblPrEx>
        <w:trPr>
          <w:trHeight w:val="278" w:hRule="atLeast"/>
        </w:trPr>
        <w:tc>
          <w:tcPr>
            <w:tcW w:w="833" w:type="pct"/>
            <w:tcBorders>
              <w:top w:val="single" w:color="auto" w:sz="8" w:space="0"/>
              <w:left w:val="single" w:color="auto" w:sz="8" w:space="0"/>
              <w:bottom w:val="single" w:color="auto" w:sz="4" w:space="0"/>
              <w:right w:val="single" w:color="auto" w:sz="4" w:space="0"/>
            </w:tcBorders>
            <w:shd w:val="clear" w:color="auto" w:fill="auto"/>
            <w:noWrap/>
            <w:vAlign w:val="center"/>
          </w:tcPr>
          <w:p w14:paraId="032EAB74">
            <w:pPr>
              <w:pStyle w:val="40"/>
            </w:pPr>
          </w:p>
        </w:tc>
        <w:tc>
          <w:tcPr>
            <w:tcW w:w="833" w:type="pct"/>
            <w:tcBorders>
              <w:top w:val="single" w:color="auto" w:sz="8" w:space="0"/>
              <w:left w:val="nil"/>
              <w:bottom w:val="single" w:color="auto" w:sz="4" w:space="0"/>
              <w:right w:val="single" w:color="auto" w:sz="4" w:space="0"/>
            </w:tcBorders>
            <w:shd w:val="clear" w:color="auto" w:fill="auto"/>
            <w:noWrap/>
            <w:vAlign w:val="center"/>
          </w:tcPr>
          <w:p w14:paraId="0C6A6DB2">
            <w:pPr>
              <w:pStyle w:val="40"/>
            </w:pPr>
            <w:r>
              <w:rPr>
                <w:rFonts w:hint="eastAsia"/>
              </w:rPr>
              <w:t>年份</w:t>
            </w:r>
          </w:p>
        </w:tc>
        <w:tc>
          <w:tcPr>
            <w:tcW w:w="833" w:type="pct"/>
            <w:tcBorders>
              <w:top w:val="single" w:color="auto" w:sz="8" w:space="0"/>
              <w:left w:val="nil"/>
              <w:bottom w:val="single" w:color="auto" w:sz="4" w:space="0"/>
              <w:right w:val="single" w:color="auto" w:sz="4" w:space="0"/>
            </w:tcBorders>
            <w:shd w:val="clear" w:color="auto" w:fill="auto"/>
            <w:noWrap/>
            <w:vAlign w:val="center"/>
          </w:tcPr>
          <w:p w14:paraId="255A0D6E">
            <w:pPr>
              <w:pStyle w:val="40"/>
            </w:pPr>
            <w:r>
              <w:rPr>
                <w:rFonts w:hint="eastAsia"/>
              </w:rPr>
              <w:t>总建筑面积</w:t>
            </w:r>
          </w:p>
        </w:tc>
        <w:tc>
          <w:tcPr>
            <w:tcW w:w="833" w:type="pct"/>
            <w:tcBorders>
              <w:top w:val="single" w:color="auto" w:sz="8" w:space="0"/>
              <w:left w:val="nil"/>
              <w:bottom w:val="single" w:color="auto" w:sz="4" w:space="0"/>
              <w:right w:val="single" w:color="auto" w:sz="4" w:space="0"/>
            </w:tcBorders>
            <w:shd w:val="clear" w:color="auto" w:fill="auto"/>
            <w:noWrap/>
            <w:vAlign w:val="center"/>
          </w:tcPr>
          <w:p w14:paraId="4708659F">
            <w:pPr>
              <w:pStyle w:val="40"/>
            </w:pPr>
            <w:r>
              <w:rPr>
                <w:rFonts w:hint="eastAsia"/>
              </w:rPr>
              <w:t>公共建筑</w:t>
            </w:r>
          </w:p>
        </w:tc>
        <w:tc>
          <w:tcPr>
            <w:tcW w:w="833" w:type="pct"/>
            <w:tcBorders>
              <w:top w:val="single" w:color="auto" w:sz="8" w:space="0"/>
              <w:left w:val="nil"/>
              <w:bottom w:val="single" w:color="auto" w:sz="4" w:space="0"/>
              <w:right w:val="single" w:color="auto" w:sz="4" w:space="0"/>
            </w:tcBorders>
            <w:shd w:val="clear" w:color="auto" w:fill="auto"/>
            <w:noWrap/>
            <w:vAlign w:val="center"/>
          </w:tcPr>
          <w:p w14:paraId="5463670A">
            <w:pPr>
              <w:pStyle w:val="40"/>
            </w:pPr>
            <w:r>
              <w:rPr>
                <w:rFonts w:hint="eastAsia"/>
              </w:rPr>
              <w:t>城镇居建</w:t>
            </w:r>
          </w:p>
        </w:tc>
        <w:tc>
          <w:tcPr>
            <w:tcW w:w="833" w:type="pct"/>
            <w:tcBorders>
              <w:top w:val="single" w:color="auto" w:sz="8" w:space="0"/>
              <w:left w:val="nil"/>
              <w:bottom w:val="single" w:color="auto" w:sz="4" w:space="0"/>
              <w:right w:val="single" w:color="auto" w:sz="8" w:space="0"/>
            </w:tcBorders>
            <w:shd w:val="clear" w:color="auto" w:fill="auto"/>
            <w:noWrap/>
            <w:vAlign w:val="center"/>
          </w:tcPr>
          <w:p w14:paraId="29A1F073">
            <w:pPr>
              <w:pStyle w:val="40"/>
            </w:pPr>
            <w:r>
              <w:rPr>
                <w:rFonts w:hint="eastAsia"/>
              </w:rPr>
              <w:t>农村居建</w:t>
            </w:r>
          </w:p>
        </w:tc>
      </w:tr>
      <w:tr w14:paraId="2FC508D3">
        <w:tblPrEx>
          <w:tblCellMar>
            <w:top w:w="0" w:type="dxa"/>
            <w:left w:w="108" w:type="dxa"/>
            <w:bottom w:w="0" w:type="dxa"/>
            <w:right w:w="108" w:type="dxa"/>
          </w:tblCellMar>
        </w:tblPrEx>
        <w:trPr>
          <w:trHeight w:val="278" w:hRule="atLeast"/>
        </w:trPr>
        <w:tc>
          <w:tcPr>
            <w:tcW w:w="833" w:type="pct"/>
            <w:vMerge w:val="restart"/>
            <w:tcBorders>
              <w:top w:val="nil"/>
              <w:left w:val="single" w:color="auto" w:sz="8" w:space="0"/>
              <w:bottom w:val="single" w:color="000000" w:sz="8" w:space="0"/>
              <w:right w:val="single" w:color="auto" w:sz="4" w:space="0"/>
            </w:tcBorders>
            <w:shd w:val="clear" w:color="auto" w:fill="auto"/>
            <w:noWrap/>
            <w:vAlign w:val="center"/>
          </w:tcPr>
          <w:p w14:paraId="59B77858">
            <w:pPr>
              <w:pStyle w:val="40"/>
            </w:pPr>
            <w:r>
              <w:rPr>
                <w:rFonts w:hint="eastAsia"/>
              </w:rPr>
              <w:t>历史数据</w:t>
            </w:r>
          </w:p>
        </w:tc>
        <w:tc>
          <w:tcPr>
            <w:tcW w:w="833" w:type="pct"/>
            <w:tcBorders>
              <w:top w:val="nil"/>
              <w:left w:val="nil"/>
              <w:bottom w:val="single" w:color="auto" w:sz="4" w:space="0"/>
              <w:right w:val="single" w:color="auto" w:sz="4" w:space="0"/>
            </w:tcBorders>
            <w:shd w:val="clear" w:color="auto" w:fill="auto"/>
            <w:noWrap/>
            <w:vAlign w:val="center"/>
          </w:tcPr>
          <w:p w14:paraId="54409D7A">
            <w:pPr>
              <w:pStyle w:val="40"/>
            </w:pPr>
            <w:r>
              <w:rPr>
                <w:rFonts w:hint="eastAsia"/>
              </w:rPr>
              <w:t>2010</w:t>
            </w:r>
          </w:p>
        </w:tc>
        <w:tc>
          <w:tcPr>
            <w:tcW w:w="833" w:type="pct"/>
            <w:tcBorders>
              <w:top w:val="nil"/>
              <w:left w:val="nil"/>
              <w:bottom w:val="single" w:color="auto" w:sz="4" w:space="0"/>
              <w:right w:val="single" w:color="auto" w:sz="4" w:space="0"/>
            </w:tcBorders>
            <w:shd w:val="clear" w:color="auto" w:fill="auto"/>
            <w:noWrap/>
            <w:vAlign w:val="center"/>
          </w:tcPr>
          <w:p w14:paraId="3A02A49E">
            <w:pPr>
              <w:pStyle w:val="40"/>
            </w:pPr>
            <w:r>
              <w:rPr>
                <w:rFonts w:hint="eastAsia"/>
              </w:rPr>
              <w:t>28326</w:t>
            </w:r>
          </w:p>
        </w:tc>
        <w:tc>
          <w:tcPr>
            <w:tcW w:w="833" w:type="pct"/>
            <w:tcBorders>
              <w:top w:val="nil"/>
              <w:left w:val="nil"/>
              <w:bottom w:val="single" w:color="auto" w:sz="4" w:space="0"/>
              <w:right w:val="single" w:color="auto" w:sz="4" w:space="0"/>
            </w:tcBorders>
            <w:shd w:val="clear" w:color="auto" w:fill="auto"/>
            <w:noWrap/>
            <w:vAlign w:val="center"/>
          </w:tcPr>
          <w:p w14:paraId="38D1E08A">
            <w:pPr>
              <w:pStyle w:val="40"/>
            </w:pPr>
            <w:r>
              <w:rPr>
                <w:rFonts w:hint="eastAsia"/>
              </w:rPr>
              <w:t>5700</w:t>
            </w:r>
          </w:p>
        </w:tc>
        <w:tc>
          <w:tcPr>
            <w:tcW w:w="833" w:type="pct"/>
            <w:tcBorders>
              <w:top w:val="nil"/>
              <w:left w:val="nil"/>
              <w:bottom w:val="single" w:color="auto" w:sz="4" w:space="0"/>
              <w:right w:val="single" w:color="auto" w:sz="4" w:space="0"/>
            </w:tcBorders>
            <w:shd w:val="clear" w:color="auto" w:fill="auto"/>
            <w:noWrap/>
            <w:vAlign w:val="center"/>
          </w:tcPr>
          <w:p w14:paraId="7831C6C6">
            <w:pPr>
              <w:pStyle w:val="40"/>
            </w:pPr>
            <w:r>
              <w:rPr>
                <w:rFonts w:hint="eastAsia"/>
              </w:rPr>
              <w:t>17700</w:t>
            </w:r>
          </w:p>
        </w:tc>
        <w:tc>
          <w:tcPr>
            <w:tcW w:w="833" w:type="pct"/>
            <w:tcBorders>
              <w:top w:val="nil"/>
              <w:left w:val="nil"/>
              <w:bottom w:val="single" w:color="auto" w:sz="4" w:space="0"/>
              <w:right w:val="single" w:color="auto" w:sz="8" w:space="0"/>
            </w:tcBorders>
            <w:shd w:val="clear" w:color="auto" w:fill="auto"/>
            <w:noWrap/>
            <w:vAlign w:val="center"/>
          </w:tcPr>
          <w:p w14:paraId="0A78191B">
            <w:pPr>
              <w:pStyle w:val="40"/>
            </w:pPr>
            <w:r>
              <w:rPr>
                <w:rFonts w:hint="eastAsia"/>
              </w:rPr>
              <w:t>4926</w:t>
            </w:r>
          </w:p>
        </w:tc>
      </w:tr>
      <w:tr w14:paraId="6BBD4902">
        <w:tblPrEx>
          <w:tblCellMar>
            <w:top w:w="0" w:type="dxa"/>
            <w:left w:w="108" w:type="dxa"/>
            <w:bottom w:w="0" w:type="dxa"/>
            <w:right w:w="108" w:type="dxa"/>
          </w:tblCellMar>
        </w:tblPrEx>
        <w:trPr>
          <w:trHeight w:val="278" w:hRule="atLeast"/>
        </w:trPr>
        <w:tc>
          <w:tcPr>
            <w:tcW w:w="833" w:type="pct"/>
            <w:vMerge w:val="continue"/>
            <w:tcBorders>
              <w:top w:val="nil"/>
              <w:left w:val="single" w:color="auto" w:sz="8" w:space="0"/>
              <w:bottom w:val="single" w:color="000000" w:sz="8" w:space="0"/>
              <w:right w:val="single" w:color="auto" w:sz="4" w:space="0"/>
            </w:tcBorders>
            <w:vAlign w:val="center"/>
          </w:tcPr>
          <w:p w14:paraId="06538028">
            <w:pPr>
              <w:pStyle w:val="40"/>
            </w:pPr>
          </w:p>
        </w:tc>
        <w:tc>
          <w:tcPr>
            <w:tcW w:w="833" w:type="pct"/>
            <w:tcBorders>
              <w:top w:val="nil"/>
              <w:left w:val="nil"/>
              <w:bottom w:val="single" w:color="auto" w:sz="4" w:space="0"/>
              <w:right w:val="single" w:color="auto" w:sz="4" w:space="0"/>
            </w:tcBorders>
            <w:shd w:val="clear" w:color="auto" w:fill="auto"/>
            <w:noWrap/>
            <w:vAlign w:val="center"/>
          </w:tcPr>
          <w:p w14:paraId="59E94247">
            <w:pPr>
              <w:pStyle w:val="40"/>
            </w:pPr>
            <w:r>
              <w:rPr>
                <w:rFonts w:hint="eastAsia"/>
              </w:rPr>
              <w:t>2011</w:t>
            </w:r>
          </w:p>
        </w:tc>
        <w:tc>
          <w:tcPr>
            <w:tcW w:w="833" w:type="pct"/>
            <w:tcBorders>
              <w:top w:val="nil"/>
              <w:left w:val="nil"/>
              <w:bottom w:val="single" w:color="auto" w:sz="4" w:space="0"/>
              <w:right w:val="single" w:color="auto" w:sz="4" w:space="0"/>
            </w:tcBorders>
            <w:shd w:val="clear" w:color="auto" w:fill="auto"/>
            <w:noWrap/>
            <w:vAlign w:val="center"/>
          </w:tcPr>
          <w:p w14:paraId="66F0D808">
            <w:pPr>
              <w:pStyle w:val="40"/>
            </w:pPr>
            <w:r>
              <w:rPr>
                <w:rFonts w:hint="eastAsia"/>
              </w:rPr>
              <w:t>28970</w:t>
            </w:r>
          </w:p>
        </w:tc>
        <w:tc>
          <w:tcPr>
            <w:tcW w:w="833" w:type="pct"/>
            <w:tcBorders>
              <w:top w:val="nil"/>
              <w:left w:val="nil"/>
              <w:bottom w:val="single" w:color="auto" w:sz="4" w:space="0"/>
              <w:right w:val="single" w:color="auto" w:sz="4" w:space="0"/>
            </w:tcBorders>
            <w:shd w:val="clear" w:color="auto" w:fill="auto"/>
            <w:noWrap/>
            <w:vAlign w:val="center"/>
          </w:tcPr>
          <w:p w14:paraId="14A8ACF3">
            <w:pPr>
              <w:pStyle w:val="40"/>
            </w:pPr>
            <w:r>
              <w:rPr>
                <w:rFonts w:hint="eastAsia"/>
              </w:rPr>
              <w:t>5800</w:t>
            </w:r>
          </w:p>
        </w:tc>
        <w:tc>
          <w:tcPr>
            <w:tcW w:w="833" w:type="pct"/>
            <w:tcBorders>
              <w:top w:val="nil"/>
              <w:left w:val="nil"/>
              <w:bottom w:val="single" w:color="auto" w:sz="4" w:space="0"/>
              <w:right w:val="single" w:color="auto" w:sz="4" w:space="0"/>
            </w:tcBorders>
            <w:shd w:val="clear" w:color="auto" w:fill="auto"/>
            <w:noWrap/>
            <w:vAlign w:val="center"/>
          </w:tcPr>
          <w:p w14:paraId="28DE16D4">
            <w:pPr>
              <w:pStyle w:val="40"/>
            </w:pPr>
            <w:r>
              <w:rPr>
                <w:rFonts w:hint="eastAsia"/>
              </w:rPr>
              <w:t>18400</w:t>
            </w:r>
          </w:p>
        </w:tc>
        <w:tc>
          <w:tcPr>
            <w:tcW w:w="833" w:type="pct"/>
            <w:tcBorders>
              <w:top w:val="nil"/>
              <w:left w:val="nil"/>
              <w:bottom w:val="single" w:color="auto" w:sz="4" w:space="0"/>
              <w:right w:val="single" w:color="auto" w:sz="8" w:space="0"/>
            </w:tcBorders>
            <w:shd w:val="clear" w:color="auto" w:fill="auto"/>
            <w:noWrap/>
            <w:vAlign w:val="center"/>
          </w:tcPr>
          <w:p w14:paraId="69D7BEFB">
            <w:pPr>
              <w:pStyle w:val="40"/>
            </w:pPr>
            <w:r>
              <w:rPr>
                <w:rFonts w:hint="eastAsia"/>
              </w:rPr>
              <w:t>4770</w:t>
            </w:r>
          </w:p>
        </w:tc>
      </w:tr>
      <w:tr w14:paraId="3068CF58">
        <w:tblPrEx>
          <w:tblCellMar>
            <w:top w:w="0" w:type="dxa"/>
            <w:left w:w="108" w:type="dxa"/>
            <w:bottom w:w="0" w:type="dxa"/>
            <w:right w:w="108" w:type="dxa"/>
          </w:tblCellMar>
        </w:tblPrEx>
        <w:trPr>
          <w:trHeight w:val="278" w:hRule="atLeast"/>
        </w:trPr>
        <w:tc>
          <w:tcPr>
            <w:tcW w:w="833" w:type="pct"/>
            <w:vMerge w:val="continue"/>
            <w:tcBorders>
              <w:top w:val="nil"/>
              <w:left w:val="single" w:color="auto" w:sz="8" w:space="0"/>
              <w:bottom w:val="single" w:color="000000" w:sz="8" w:space="0"/>
              <w:right w:val="single" w:color="auto" w:sz="4" w:space="0"/>
            </w:tcBorders>
            <w:vAlign w:val="center"/>
          </w:tcPr>
          <w:p w14:paraId="6F0B11D3">
            <w:pPr>
              <w:pStyle w:val="40"/>
            </w:pPr>
          </w:p>
        </w:tc>
        <w:tc>
          <w:tcPr>
            <w:tcW w:w="833" w:type="pct"/>
            <w:tcBorders>
              <w:top w:val="nil"/>
              <w:left w:val="nil"/>
              <w:bottom w:val="single" w:color="auto" w:sz="4" w:space="0"/>
              <w:right w:val="single" w:color="auto" w:sz="4" w:space="0"/>
            </w:tcBorders>
            <w:shd w:val="clear" w:color="auto" w:fill="auto"/>
            <w:noWrap/>
            <w:vAlign w:val="center"/>
          </w:tcPr>
          <w:p w14:paraId="18F95025">
            <w:pPr>
              <w:pStyle w:val="40"/>
            </w:pPr>
            <w:r>
              <w:rPr>
                <w:rFonts w:hint="eastAsia"/>
              </w:rPr>
              <w:t>2012</w:t>
            </w:r>
          </w:p>
        </w:tc>
        <w:tc>
          <w:tcPr>
            <w:tcW w:w="833" w:type="pct"/>
            <w:tcBorders>
              <w:top w:val="nil"/>
              <w:left w:val="nil"/>
              <w:bottom w:val="single" w:color="auto" w:sz="4" w:space="0"/>
              <w:right w:val="single" w:color="auto" w:sz="4" w:space="0"/>
            </w:tcBorders>
            <w:shd w:val="clear" w:color="auto" w:fill="auto"/>
            <w:noWrap/>
            <w:vAlign w:val="center"/>
          </w:tcPr>
          <w:p w14:paraId="589DBC75">
            <w:pPr>
              <w:pStyle w:val="40"/>
            </w:pPr>
            <w:r>
              <w:rPr>
                <w:rFonts w:hint="eastAsia"/>
              </w:rPr>
              <w:t>30920</w:t>
            </w:r>
          </w:p>
        </w:tc>
        <w:tc>
          <w:tcPr>
            <w:tcW w:w="833" w:type="pct"/>
            <w:tcBorders>
              <w:top w:val="nil"/>
              <w:left w:val="nil"/>
              <w:bottom w:val="single" w:color="auto" w:sz="4" w:space="0"/>
              <w:right w:val="single" w:color="auto" w:sz="4" w:space="0"/>
            </w:tcBorders>
            <w:shd w:val="clear" w:color="auto" w:fill="auto"/>
            <w:noWrap/>
            <w:vAlign w:val="center"/>
          </w:tcPr>
          <w:p w14:paraId="3A186B96">
            <w:pPr>
              <w:pStyle w:val="40"/>
            </w:pPr>
            <w:r>
              <w:rPr>
                <w:rFonts w:hint="eastAsia"/>
              </w:rPr>
              <w:t>6200</w:t>
            </w:r>
          </w:p>
        </w:tc>
        <w:tc>
          <w:tcPr>
            <w:tcW w:w="833" w:type="pct"/>
            <w:tcBorders>
              <w:top w:val="nil"/>
              <w:left w:val="nil"/>
              <w:bottom w:val="single" w:color="auto" w:sz="4" w:space="0"/>
              <w:right w:val="single" w:color="auto" w:sz="4" w:space="0"/>
            </w:tcBorders>
            <w:shd w:val="clear" w:color="auto" w:fill="auto"/>
            <w:noWrap/>
            <w:vAlign w:val="center"/>
          </w:tcPr>
          <w:p w14:paraId="0AA3F04F">
            <w:pPr>
              <w:pStyle w:val="40"/>
            </w:pPr>
            <w:r>
              <w:rPr>
                <w:rFonts w:hint="eastAsia"/>
              </w:rPr>
              <w:t>19700</w:t>
            </w:r>
          </w:p>
        </w:tc>
        <w:tc>
          <w:tcPr>
            <w:tcW w:w="833" w:type="pct"/>
            <w:tcBorders>
              <w:top w:val="nil"/>
              <w:left w:val="nil"/>
              <w:bottom w:val="single" w:color="auto" w:sz="4" w:space="0"/>
              <w:right w:val="single" w:color="auto" w:sz="8" w:space="0"/>
            </w:tcBorders>
            <w:shd w:val="clear" w:color="auto" w:fill="auto"/>
            <w:noWrap/>
            <w:vAlign w:val="center"/>
          </w:tcPr>
          <w:p w14:paraId="31ADC817">
            <w:pPr>
              <w:pStyle w:val="40"/>
            </w:pPr>
            <w:r>
              <w:rPr>
                <w:rFonts w:hint="eastAsia"/>
              </w:rPr>
              <w:t>5020</w:t>
            </w:r>
          </w:p>
        </w:tc>
      </w:tr>
      <w:tr w14:paraId="019015F0">
        <w:tblPrEx>
          <w:tblCellMar>
            <w:top w:w="0" w:type="dxa"/>
            <w:left w:w="108" w:type="dxa"/>
            <w:bottom w:w="0" w:type="dxa"/>
            <w:right w:w="108" w:type="dxa"/>
          </w:tblCellMar>
        </w:tblPrEx>
        <w:trPr>
          <w:trHeight w:val="278" w:hRule="atLeast"/>
        </w:trPr>
        <w:tc>
          <w:tcPr>
            <w:tcW w:w="833" w:type="pct"/>
            <w:vMerge w:val="continue"/>
            <w:tcBorders>
              <w:top w:val="nil"/>
              <w:left w:val="single" w:color="auto" w:sz="8" w:space="0"/>
              <w:bottom w:val="single" w:color="000000" w:sz="8" w:space="0"/>
              <w:right w:val="single" w:color="auto" w:sz="4" w:space="0"/>
            </w:tcBorders>
            <w:vAlign w:val="center"/>
          </w:tcPr>
          <w:p w14:paraId="4BEF06D4">
            <w:pPr>
              <w:pStyle w:val="40"/>
            </w:pPr>
          </w:p>
        </w:tc>
        <w:tc>
          <w:tcPr>
            <w:tcW w:w="833" w:type="pct"/>
            <w:tcBorders>
              <w:top w:val="nil"/>
              <w:left w:val="nil"/>
              <w:bottom w:val="single" w:color="auto" w:sz="4" w:space="0"/>
              <w:right w:val="single" w:color="auto" w:sz="4" w:space="0"/>
            </w:tcBorders>
            <w:shd w:val="clear" w:color="auto" w:fill="auto"/>
            <w:noWrap/>
            <w:vAlign w:val="center"/>
          </w:tcPr>
          <w:p w14:paraId="049B83B8">
            <w:pPr>
              <w:pStyle w:val="40"/>
            </w:pPr>
            <w:r>
              <w:rPr>
                <w:rFonts w:hint="eastAsia"/>
              </w:rPr>
              <w:t>2013</w:t>
            </w:r>
          </w:p>
        </w:tc>
        <w:tc>
          <w:tcPr>
            <w:tcW w:w="833" w:type="pct"/>
            <w:tcBorders>
              <w:top w:val="nil"/>
              <w:left w:val="nil"/>
              <w:bottom w:val="single" w:color="auto" w:sz="4" w:space="0"/>
              <w:right w:val="single" w:color="auto" w:sz="4" w:space="0"/>
            </w:tcBorders>
            <w:shd w:val="clear" w:color="auto" w:fill="auto"/>
            <w:noWrap/>
            <w:vAlign w:val="center"/>
          </w:tcPr>
          <w:p w14:paraId="145A2F2D">
            <w:pPr>
              <w:pStyle w:val="40"/>
            </w:pPr>
            <w:r>
              <w:rPr>
                <w:rFonts w:hint="eastAsia"/>
              </w:rPr>
              <w:t>32045</w:t>
            </w:r>
          </w:p>
        </w:tc>
        <w:tc>
          <w:tcPr>
            <w:tcW w:w="833" w:type="pct"/>
            <w:tcBorders>
              <w:top w:val="nil"/>
              <w:left w:val="nil"/>
              <w:bottom w:val="single" w:color="auto" w:sz="4" w:space="0"/>
              <w:right w:val="single" w:color="auto" w:sz="4" w:space="0"/>
            </w:tcBorders>
            <w:shd w:val="clear" w:color="auto" w:fill="auto"/>
            <w:noWrap/>
            <w:vAlign w:val="center"/>
          </w:tcPr>
          <w:p w14:paraId="0D6CBDB1">
            <w:pPr>
              <w:pStyle w:val="40"/>
            </w:pPr>
            <w:r>
              <w:rPr>
                <w:rFonts w:hint="eastAsia"/>
              </w:rPr>
              <w:t>6400</w:t>
            </w:r>
          </w:p>
        </w:tc>
        <w:tc>
          <w:tcPr>
            <w:tcW w:w="833" w:type="pct"/>
            <w:tcBorders>
              <w:top w:val="nil"/>
              <w:left w:val="nil"/>
              <w:bottom w:val="single" w:color="auto" w:sz="4" w:space="0"/>
              <w:right w:val="single" w:color="auto" w:sz="4" w:space="0"/>
            </w:tcBorders>
            <w:shd w:val="clear" w:color="auto" w:fill="auto"/>
            <w:noWrap/>
            <w:vAlign w:val="center"/>
          </w:tcPr>
          <w:p w14:paraId="54AACC3C">
            <w:pPr>
              <w:pStyle w:val="40"/>
            </w:pPr>
            <w:r>
              <w:rPr>
                <w:rFonts w:hint="eastAsia"/>
              </w:rPr>
              <w:t>20400</w:t>
            </w:r>
          </w:p>
        </w:tc>
        <w:tc>
          <w:tcPr>
            <w:tcW w:w="833" w:type="pct"/>
            <w:tcBorders>
              <w:top w:val="nil"/>
              <w:left w:val="nil"/>
              <w:bottom w:val="single" w:color="auto" w:sz="4" w:space="0"/>
              <w:right w:val="single" w:color="auto" w:sz="8" w:space="0"/>
            </w:tcBorders>
            <w:shd w:val="clear" w:color="auto" w:fill="auto"/>
            <w:noWrap/>
            <w:vAlign w:val="center"/>
          </w:tcPr>
          <w:p w14:paraId="209D18AE">
            <w:pPr>
              <w:pStyle w:val="40"/>
            </w:pPr>
            <w:r>
              <w:rPr>
                <w:rFonts w:hint="eastAsia"/>
              </w:rPr>
              <w:t>5245</w:t>
            </w:r>
          </w:p>
        </w:tc>
      </w:tr>
      <w:tr w14:paraId="1A2B2211">
        <w:tblPrEx>
          <w:tblCellMar>
            <w:top w:w="0" w:type="dxa"/>
            <w:left w:w="108" w:type="dxa"/>
            <w:bottom w:w="0" w:type="dxa"/>
            <w:right w:w="108" w:type="dxa"/>
          </w:tblCellMar>
        </w:tblPrEx>
        <w:trPr>
          <w:trHeight w:val="278" w:hRule="atLeast"/>
        </w:trPr>
        <w:tc>
          <w:tcPr>
            <w:tcW w:w="833" w:type="pct"/>
            <w:vMerge w:val="continue"/>
            <w:tcBorders>
              <w:top w:val="nil"/>
              <w:left w:val="single" w:color="auto" w:sz="8" w:space="0"/>
              <w:bottom w:val="single" w:color="000000" w:sz="8" w:space="0"/>
              <w:right w:val="single" w:color="auto" w:sz="4" w:space="0"/>
            </w:tcBorders>
            <w:vAlign w:val="center"/>
          </w:tcPr>
          <w:p w14:paraId="47900D41">
            <w:pPr>
              <w:pStyle w:val="40"/>
            </w:pPr>
          </w:p>
        </w:tc>
        <w:tc>
          <w:tcPr>
            <w:tcW w:w="833" w:type="pct"/>
            <w:tcBorders>
              <w:top w:val="nil"/>
              <w:left w:val="nil"/>
              <w:bottom w:val="single" w:color="auto" w:sz="4" w:space="0"/>
              <w:right w:val="single" w:color="auto" w:sz="4" w:space="0"/>
            </w:tcBorders>
            <w:shd w:val="clear" w:color="auto" w:fill="auto"/>
            <w:noWrap/>
            <w:vAlign w:val="center"/>
          </w:tcPr>
          <w:p w14:paraId="78DB6E3F">
            <w:pPr>
              <w:pStyle w:val="40"/>
            </w:pPr>
            <w:r>
              <w:rPr>
                <w:rFonts w:hint="eastAsia"/>
              </w:rPr>
              <w:t>2014</w:t>
            </w:r>
          </w:p>
        </w:tc>
        <w:tc>
          <w:tcPr>
            <w:tcW w:w="833" w:type="pct"/>
            <w:tcBorders>
              <w:top w:val="nil"/>
              <w:left w:val="nil"/>
              <w:bottom w:val="single" w:color="auto" w:sz="4" w:space="0"/>
              <w:right w:val="single" w:color="auto" w:sz="4" w:space="0"/>
            </w:tcBorders>
            <w:shd w:val="clear" w:color="auto" w:fill="auto"/>
            <w:noWrap/>
            <w:vAlign w:val="center"/>
          </w:tcPr>
          <w:p w14:paraId="0B7A9F83">
            <w:pPr>
              <w:pStyle w:val="40"/>
            </w:pPr>
            <w:r>
              <w:rPr>
                <w:rFonts w:hint="eastAsia"/>
              </w:rPr>
              <w:t>33278</w:t>
            </w:r>
          </w:p>
        </w:tc>
        <w:tc>
          <w:tcPr>
            <w:tcW w:w="833" w:type="pct"/>
            <w:tcBorders>
              <w:top w:val="nil"/>
              <w:left w:val="nil"/>
              <w:bottom w:val="single" w:color="auto" w:sz="4" w:space="0"/>
              <w:right w:val="single" w:color="auto" w:sz="4" w:space="0"/>
            </w:tcBorders>
            <w:shd w:val="clear" w:color="auto" w:fill="auto"/>
            <w:noWrap/>
            <w:vAlign w:val="center"/>
          </w:tcPr>
          <w:p w14:paraId="1245E50D">
            <w:pPr>
              <w:pStyle w:val="40"/>
            </w:pPr>
            <w:r>
              <w:rPr>
                <w:rFonts w:hint="eastAsia"/>
              </w:rPr>
              <w:t>6700</w:t>
            </w:r>
          </w:p>
        </w:tc>
        <w:tc>
          <w:tcPr>
            <w:tcW w:w="833" w:type="pct"/>
            <w:tcBorders>
              <w:top w:val="nil"/>
              <w:left w:val="nil"/>
              <w:bottom w:val="single" w:color="auto" w:sz="4" w:space="0"/>
              <w:right w:val="single" w:color="auto" w:sz="4" w:space="0"/>
            </w:tcBorders>
            <w:shd w:val="clear" w:color="auto" w:fill="auto"/>
            <w:noWrap/>
            <w:vAlign w:val="center"/>
          </w:tcPr>
          <w:p w14:paraId="631C3EFB">
            <w:pPr>
              <w:pStyle w:val="40"/>
            </w:pPr>
            <w:r>
              <w:rPr>
                <w:rFonts w:hint="eastAsia"/>
              </w:rPr>
              <w:t>21300</w:t>
            </w:r>
          </w:p>
        </w:tc>
        <w:tc>
          <w:tcPr>
            <w:tcW w:w="833" w:type="pct"/>
            <w:tcBorders>
              <w:top w:val="nil"/>
              <w:left w:val="nil"/>
              <w:bottom w:val="single" w:color="auto" w:sz="4" w:space="0"/>
              <w:right w:val="single" w:color="auto" w:sz="8" w:space="0"/>
            </w:tcBorders>
            <w:shd w:val="clear" w:color="auto" w:fill="auto"/>
            <w:noWrap/>
            <w:vAlign w:val="center"/>
          </w:tcPr>
          <w:p w14:paraId="0E219AF9">
            <w:pPr>
              <w:pStyle w:val="40"/>
            </w:pPr>
            <w:r>
              <w:rPr>
                <w:rFonts w:hint="eastAsia"/>
              </w:rPr>
              <w:t>5278</w:t>
            </w:r>
          </w:p>
        </w:tc>
      </w:tr>
      <w:tr w14:paraId="2018BD51">
        <w:tblPrEx>
          <w:tblCellMar>
            <w:top w:w="0" w:type="dxa"/>
            <w:left w:w="108" w:type="dxa"/>
            <w:bottom w:w="0" w:type="dxa"/>
            <w:right w:w="108" w:type="dxa"/>
          </w:tblCellMar>
        </w:tblPrEx>
        <w:trPr>
          <w:trHeight w:val="278" w:hRule="atLeast"/>
        </w:trPr>
        <w:tc>
          <w:tcPr>
            <w:tcW w:w="833" w:type="pct"/>
            <w:vMerge w:val="continue"/>
            <w:tcBorders>
              <w:top w:val="nil"/>
              <w:left w:val="single" w:color="auto" w:sz="8" w:space="0"/>
              <w:bottom w:val="single" w:color="000000" w:sz="8" w:space="0"/>
              <w:right w:val="single" w:color="auto" w:sz="4" w:space="0"/>
            </w:tcBorders>
            <w:vAlign w:val="center"/>
          </w:tcPr>
          <w:p w14:paraId="53A5697B">
            <w:pPr>
              <w:pStyle w:val="40"/>
            </w:pPr>
          </w:p>
        </w:tc>
        <w:tc>
          <w:tcPr>
            <w:tcW w:w="833" w:type="pct"/>
            <w:tcBorders>
              <w:top w:val="nil"/>
              <w:left w:val="nil"/>
              <w:bottom w:val="single" w:color="auto" w:sz="4" w:space="0"/>
              <w:right w:val="single" w:color="auto" w:sz="4" w:space="0"/>
            </w:tcBorders>
            <w:shd w:val="clear" w:color="auto" w:fill="auto"/>
            <w:noWrap/>
            <w:vAlign w:val="center"/>
          </w:tcPr>
          <w:p w14:paraId="24831421">
            <w:pPr>
              <w:pStyle w:val="40"/>
            </w:pPr>
            <w:r>
              <w:rPr>
                <w:rFonts w:hint="eastAsia"/>
              </w:rPr>
              <w:t>2015</w:t>
            </w:r>
          </w:p>
        </w:tc>
        <w:tc>
          <w:tcPr>
            <w:tcW w:w="833" w:type="pct"/>
            <w:tcBorders>
              <w:top w:val="nil"/>
              <w:left w:val="nil"/>
              <w:bottom w:val="single" w:color="auto" w:sz="4" w:space="0"/>
              <w:right w:val="single" w:color="auto" w:sz="4" w:space="0"/>
            </w:tcBorders>
            <w:shd w:val="clear" w:color="auto" w:fill="auto"/>
            <w:noWrap/>
            <w:vAlign w:val="center"/>
          </w:tcPr>
          <w:p w14:paraId="6410DD70">
            <w:pPr>
              <w:pStyle w:val="40"/>
            </w:pPr>
            <w:r>
              <w:rPr>
                <w:rFonts w:hint="eastAsia"/>
              </w:rPr>
              <w:t>34920</w:t>
            </w:r>
          </w:p>
        </w:tc>
        <w:tc>
          <w:tcPr>
            <w:tcW w:w="833" w:type="pct"/>
            <w:tcBorders>
              <w:top w:val="nil"/>
              <w:left w:val="nil"/>
              <w:bottom w:val="single" w:color="auto" w:sz="4" w:space="0"/>
              <w:right w:val="single" w:color="auto" w:sz="4" w:space="0"/>
            </w:tcBorders>
            <w:shd w:val="clear" w:color="auto" w:fill="auto"/>
            <w:noWrap/>
            <w:vAlign w:val="center"/>
          </w:tcPr>
          <w:p w14:paraId="1627179B">
            <w:pPr>
              <w:pStyle w:val="40"/>
            </w:pPr>
            <w:r>
              <w:rPr>
                <w:rFonts w:hint="eastAsia"/>
              </w:rPr>
              <w:t>7100</w:t>
            </w:r>
          </w:p>
        </w:tc>
        <w:tc>
          <w:tcPr>
            <w:tcW w:w="833" w:type="pct"/>
            <w:tcBorders>
              <w:top w:val="nil"/>
              <w:left w:val="nil"/>
              <w:bottom w:val="single" w:color="auto" w:sz="4" w:space="0"/>
              <w:right w:val="single" w:color="auto" w:sz="4" w:space="0"/>
            </w:tcBorders>
            <w:shd w:val="clear" w:color="auto" w:fill="auto"/>
            <w:noWrap/>
            <w:vAlign w:val="center"/>
          </w:tcPr>
          <w:p w14:paraId="1854D4BA">
            <w:pPr>
              <w:pStyle w:val="40"/>
            </w:pPr>
            <w:r>
              <w:rPr>
                <w:rFonts w:hint="eastAsia"/>
              </w:rPr>
              <w:t>22400</w:t>
            </w:r>
          </w:p>
        </w:tc>
        <w:tc>
          <w:tcPr>
            <w:tcW w:w="833" w:type="pct"/>
            <w:tcBorders>
              <w:top w:val="nil"/>
              <w:left w:val="nil"/>
              <w:bottom w:val="single" w:color="auto" w:sz="4" w:space="0"/>
              <w:right w:val="single" w:color="auto" w:sz="8" w:space="0"/>
            </w:tcBorders>
            <w:shd w:val="clear" w:color="auto" w:fill="auto"/>
            <w:noWrap/>
            <w:vAlign w:val="center"/>
          </w:tcPr>
          <w:p w14:paraId="0DF22560">
            <w:pPr>
              <w:pStyle w:val="40"/>
            </w:pPr>
            <w:r>
              <w:rPr>
                <w:rFonts w:hint="eastAsia"/>
              </w:rPr>
              <w:t>5420</w:t>
            </w:r>
          </w:p>
        </w:tc>
      </w:tr>
      <w:tr w14:paraId="09256476">
        <w:tblPrEx>
          <w:tblCellMar>
            <w:top w:w="0" w:type="dxa"/>
            <w:left w:w="108" w:type="dxa"/>
            <w:bottom w:w="0" w:type="dxa"/>
            <w:right w:w="108" w:type="dxa"/>
          </w:tblCellMar>
        </w:tblPrEx>
        <w:trPr>
          <w:trHeight w:val="278" w:hRule="atLeast"/>
        </w:trPr>
        <w:tc>
          <w:tcPr>
            <w:tcW w:w="833" w:type="pct"/>
            <w:vMerge w:val="continue"/>
            <w:tcBorders>
              <w:top w:val="nil"/>
              <w:left w:val="single" w:color="auto" w:sz="8" w:space="0"/>
              <w:bottom w:val="single" w:color="000000" w:sz="8" w:space="0"/>
              <w:right w:val="single" w:color="auto" w:sz="4" w:space="0"/>
            </w:tcBorders>
            <w:vAlign w:val="center"/>
          </w:tcPr>
          <w:p w14:paraId="165128EB">
            <w:pPr>
              <w:pStyle w:val="40"/>
            </w:pPr>
          </w:p>
        </w:tc>
        <w:tc>
          <w:tcPr>
            <w:tcW w:w="833" w:type="pct"/>
            <w:tcBorders>
              <w:top w:val="nil"/>
              <w:left w:val="nil"/>
              <w:bottom w:val="single" w:color="auto" w:sz="4" w:space="0"/>
              <w:right w:val="single" w:color="auto" w:sz="4" w:space="0"/>
            </w:tcBorders>
            <w:shd w:val="clear" w:color="auto" w:fill="auto"/>
            <w:noWrap/>
            <w:vAlign w:val="center"/>
          </w:tcPr>
          <w:p w14:paraId="7EF64A36">
            <w:pPr>
              <w:pStyle w:val="40"/>
            </w:pPr>
            <w:r>
              <w:rPr>
                <w:rFonts w:hint="eastAsia"/>
              </w:rPr>
              <w:t>2016</w:t>
            </w:r>
          </w:p>
        </w:tc>
        <w:tc>
          <w:tcPr>
            <w:tcW w:w="833" w:type="pct"/>
            <w:tcBorders>
              <w:top w:val="nil"/>
              <w:left w:val="nil"/>
              <w:bottom w:val="single" w:color="auto" w:sz="4" w:space="0"/>
              <w:right w:val="single" w:color="auto" w:sz="4" w:space="0"/>
            </w:tcBorders>
            <w:shd w:val="clear" w:color="auto" w:fill="auto"/>
            <w:noWrap/>
            <w:vAlign w:val="center"/>
          </w:tcPr>
          <w:p w14:paraId="2CC62768">
            <w:pPr>
              <w:pStyle w:val="40"/>
            </w:pPr>
            <w:r>
              <w:rPr>
                <w:rFonts w:hint="eastAsia"/>
              </w:rPr>
              <w:t>37022</w:t>
            </w:r>
          </w:p>
        </w:tc>
        <w:tc>
          <w:tcPr>
            <w:tcW w:w="833" w:type="pct"/>
            <w:tcBorders>
              <w:top w:val="nil"/>
              <w:left w:val="nil"/>
              <w:bottom w:val="single" w:color="auto" w:sz="4" w:space="0"/>
              <w:right w:val="single" w:color="auto" w:sz="4" w:space="0"/>
            </w:tcBorders>
            <w:shd w:val="clear" w:color="auto" w:fill="auto"/>
            <w:noWrap/>
            <w:vAlign w:val="center"/>
          </w:tcPr>
          <w:p w14:paraId="42049D6F">
            <w:pPr>
              <w:pStyle w:val="40"/>
            </w:pPr>
            <w:r>
              <w:rPr>
                <w:rFonts w:hint="eastAsia"/>
              </w:rPr>
              <w:t>7803</w:t>
            </w:r>
          </w:p>
        </w:tc>
        <w:tc>
          <w:tcPr>
            <w:tcW w:w="833" w:type="pct"/>
            <w:tcBorders>
              <w:top w:val="nil"/>
              <w:left w:val="nil"/>
              <w:bottom w:val="single" w:color="auto" w:sz="4" w:space="0"/>
              <w:right w:val="single" w:color="auto" w:sz="4" w:space="0"/>
            </w:tcBorders>
            <w:shd w:val="clear" w:color="auto" w:fill="auto"/>
            <w:noWrap/>
            <w:vAlign w:val="center"/>
          </w:tcPr>
          <w:p w14:paraId="4E34D405">
            <w:pPr>
              <w:pStyle w:val="40"/>
            </w:pPr>
            <w:r>
              <w:rPr>
                <w:rFonts w:hint="eastAsia"/>
              </w:rPr>
              <w:t>23767</w:t>
            </w:r>
          </w:p>
        </w:tc>
        <w:tc>
          <w:tcPr>
            <w:tcW w:w="833" w:type="pct"/>
            <w:tcBorders>
              <w:top w:val="nil"/>
              <w:left w:val="nil"/>
              <w:bottom w:val="single" w:color="auto" w:sz="4" w:space="0"/>
              <w:right w:val="single" w:color="auto" w:sz="8" w:space="0"/>
            </w:tcBorders>
            <w:shd w:val="clear" w:color="auto" w:fill="auto"/>
            <w:noWrap/>
            <w:vAlign w:val="center"/>
          </w:tcPr>
          <w:p w14:paraId="77BADE30">
            <w:pPr>
              <w:pStyle w:val="40"/>
            </w:pPr>
            <w:r>
              <w:rPr>
                <w:rFonts w:hint="eastAsia"/>
              </w:rPr>
              <w:t>5452</w:t>
            </w:r>
          </w:p>
        </w:tc>
      </w:tr>
      <w:tr w14:paraId="00B9F3F9">
        <w:tblPrEx>
          <w:tblCellMar>
            <w:top w:w="0" w:type="dxa"/>
            <w:left w:w="108" w:type="dxa"/>
            <w:bottom w:w="0" w:type="dxa"/>
            <w:right w:w="108" w:type="dxa"/>
          </w:tblCellMar>
        </w:tblPrEx>
        <w:trPr>
          <w:trHeight w:val="278" w:hRule="atLeast"/>
        </w:trPr>
        <w:tc>
          <w:tcPr>
            <w:tcW w:w="833" w:type="pct"/>
            <w:vMerge w:val="continue"/>
            <w:tcBorders>
              <w:top w:val="nil"/>
              <w:left w:val="single" w:color="auto" w:sz="8" w:space="0"/>
              <w:bottom w:val="single" w:color="000000" w:sz="8" w:space="0"/>
              <w:right w:val="single" w:color="auto" w:sz="4" w:space="0"/>
            </w:tcBorders>
            <w:vAlign w:val="center"/>
          </w:tcPr>
          <w:p w14:paraId="6BF6817F">
            <w:pPr>
              <w:pStyle w:val="40"/>
            </w:pPr>
          </w:p>
        </w:tc>
        <w:tc>
          <w:tcPr>
            <w:tcW w:w="833" w:type="pct"/>
            <w:tcBorders>
              <w:top w:val="nil"/>
              <w:left w:val="nil"/>
              <w:bottom w:val="single" w:color="auto" w:sz="4" w:space="0"/>
              <w:right w:val="single" w:color="auto" w:sz="4" w:space="0"/>
            </w:tcBorders>
            <w:shd w:val="clear" w:color="auto" w:fill="auto"/>
            <w:noWrap/>
            <w:vAlign w:val="center"/>
          </w:tcPr>
          <w:p w14:paraId="2361B3FF">
            <w:pPr>
              <w:pStyle w:val="40"/>
            </w:pPr>
            <w:r>
              <w:rPr>
                <w:rFonts w:hint="eastAsia"/>
              </w:rPr>
              <w:t>2017</w:t>
            </w:r>
          </w:p>
        </w:tc>
        <w:tc>
          <w:tcPr>
            <w:tcW w:w="833" w:type="pct"/>
            <w:tcBorders>
              <w:top w:val="nil"/>
              <w:left w:val="nil"/>
              <w:bottom w:val="single" w:color="auto" w:sz="4" w:space="0"/>
              <w:right w:val="single" w:color="auto" w:sz="4" w:space="0"/>
            </w:tcBorders>
            <w:shd w:val="clear" w:color="auto" w:fill="auto"/>
            <w:noWrap/>
            <w:vAlign w:val="center"/>
          </w:tcPr>
          <w:p w14:paraId="41E8BE03">
            <w:pPr>
              <w:pStyle w:val="40"/>
            </w:pPr>
            <w:r>
              <w:rPr>
                <w:rFonts w:hint="eastAsia"/>
              </w:rPr>
              <w:t>38906</w:t>
            </w:r>
          </w:p>
        </w:tc>
        <w:tc>
          <w:tcPr>
            <w:tcW w:w="833" w:type="pct"/>
            <w:tcBorders>
              <w:top w:val="nil"/>
              <w:left w:val="nil"/>
              <w:bottom w:val="single" w:color="auto" w:sz="4" w:space="0"/>
              <w:right w:val="single" w:color="auto" w:sz="4" w:space="0"/>
            </w:tcBorders>
            <w:shd w:val="clear" w:color="auto" w:fill="auto"/>
            <w:noWrap/>
            <w:vAlign w:val="center"/>
          </w:tcPr>
          <w:p w14:paraId="73CFE492">
            <w:pPr>
              <w:pStyle w:val="40"/>
            </w:pPr>
            <w:r>
              <w:rPr>
                <w:rFonts w:hint="eastAsia"/>
              </w:rPr>
              <w:t>8229</w:t>
            </w:r>
          </w:p>
        </w:tc>
        <w:tc>
          <w:tcPr>
            <w:tcW w:w="833" w:type="pct"/>
            <w:tcBorders>
              <w:top w:val="nil"/>
              <w:left w:val="nil"/>
              <w:bottom w:val="single" w:color="auto" w:sz="4" w:space="0"/>
              <w:right w:val="single" w:color="auto" w:sz="4" w:space="0"/>
            </w:tcBorders>
            <w:shd w:val="clear" w:color="auto" w:fill="auto"/>
            <w:noWrap/>
            <w:vAlign w:val="center"/>
          </w:tcPr>
          <w:p w14:paraId="2FA07AC1">
            <w:pPr>
              <w:pStyle w:val="40"/>
            </w:pPr>
            <w:r>
              <w:rPr>
                <w:rFonts w:hint="eastAsia"/>
              </w:rPr>
              <w:t>24987</w:t>
            </w:r>
          </w:p>
        </w:tc>
        <w:tc>
          <w:tcPr>
            <w:tcW w:w="833" w:type="pct"/>
            <w:tcBorders>
              <w:top w:val="nil"/>
              <w:left w:val="nil"/>
              <w:bottom w:val="single" w:color="auto" w:sz="4" w:space="0"/>
              <w:right w:val="single" w:color="auto" w:sz="8" w:space="0"/>
            </w:tcBorders>
            <w:shd w:val="clear" w:color="auto" w:fill="auto"/>
            <w:noWrap/>
            <w:vAlign w:val="center"/>
          </w:tcPr>
          <w:p w14:paraId="7D27E364">
            <w:pPr>
              <w:pStyle w:val="40"/>
            </w:pPr>
            <w:r>
              <w:rPr>
                <w:rFonts w:hint="eastAsia"/>
              </w:rPr>
              <w:t>5690</w:t>
            </w:r>
          </w:p>
        </w:tc>
      </w:tr>
      <w:tr w14:paraId="221D20EE">
        <w:tblPrEx>
          <w:tblCellMar>
            <w:top w:w="0" w:type="dxa"/>
            <w:left w:w="108" w:type="dxa"/>
            <w:bottom w:w="0" w:type="dxa"/>
            <w:right w:w="108" w:type="dxa"/>
          </w:tblCellMar>
        </w:tblPrEx>
        <w:trPr>
          <w:trHeight w:val="278" w:hRule="atLeast"/>
        </w:trPr>
        <w:tc>
          <w:tcPr>
            <w:tcW w:w="833" w:type="pct"/>
            <w:vMerge w:val="continue"/>
            <w:tcBorders>
              <w:top w:val="nil"/>
              <w:left w:val="single" w:color="auto" w:sz="8" w:space="0"/>
              <w:bottom w:val="single" w:color="000000" w:sz="8" w:space="0"/>
              <w:right w:val="single" w:color="auto" w:sz="4" w:space="0"/>
            </w:tcBorders>
            <w:vAlign w:val="center"/>
          </w:tcPr>
          <w:p w14:paraId="7DA264AC">
            <w:pPr>
              <w:pStyle w:val="40"/>
            </w:pPr>
          </w:p>
        </w:tc>
        <w:tc>
          <w:tcPr>
            <w:tcW w:w="833" w:type="pct"/>
            <w:tcBorders>
              <w:top w:val="nil"/>
              <w:left w:val="nil"/>
              <w:bottom w:val="single" w:color="auto" w:sz="4" w:space="0"/>
              <w:right w:val="single" w:color="auto" w:sz="4" w:space="0"/>
            </w:tcBorders>
            <w:shd w:val="clear" w:color="auto" w:fill="auto"/>
            <w:noWrap/>
            <w:vAlign w:val="center"/>
          </w:tcPr>
          <w:p w14:paraId="224A2E9C">
            <w:pPr>
              <w:pStyle w:val="40"/>
            </w:pPr>
            <w:r>
              <w:rPr>
                <w:rFonts w:hint="eastAsia"/>
              </w:rPr>
              <w:t>2018</w:t>
            </w:r>
          </w:p>
        </w:tc>
        <w:tc>
          <w:tcPr>
            <w:tcW w:w="833" w:type="pct"/>
            <w:tcBorders>
              <w:top w:val="nil"/>
              <w:left w:val="nil"/>
              <w:bottom w:val="single" w:color="auto" w:sz="4" w:space="0"/>
              <w:right w:val="single" w:color="auto" w:sz="4" w:space="0"/>
            </w:tcBorders>
            <w:shd w:val="clear" w:color="auto" w:fill="auto"/>
            <w:noWrap/>
            <w:vAlign w:val="center"/>
          </w:tcPr>
          <w:p w14:paraId="610AD810">
            <w:pPr>
              <w:pStyle w:val="40"/>
            </w:pPr>
            <w:r>
              <w:rPr>
                <w:rFonts w:hint="eastAsia"/>
              </w:rPr>
              <w:t>40218</w:t>
            </w:r>
          </w:p>
        </w:tc>
        <w:tc>
          <w:tcPr>
            <w:tcW w:w="833" w:type="pct"/>
            <w:tcBorders>
              <w:top w:val="nil"/>
              <w:left w:val="nil"/>
              <w:bottom w:val="single" w:color="auto" w:sz="4" w:space="0"/>
              <w:right w:val="single" w:color="auto" w:sz="4" w:space="0"/>
            </w:tcBorders>
            <w:shd w:val="clear" w:color="auto" w:fill="auto"/>
            <w:noWrap/>
            <w:vAlign w:val="center"/>
          </w:tcPr>
          <w:p w14:paraId="0BCC6770">
            <w:pPr>
              <w:pStyle w:val="40"/>
            </w:pPr>
            <w:r>
              <w:rPr>
                <w:rFonts w:hint="eastAsia"/>
              </w:rPr>
              <w:t>8497</w:t>
            </w:r>
          </w:p>
        </w:tc>
        <w:tc>
          <w:tcPr>
            <w:tcW w:w="833" w:type="pct"/>
            <w:tcBorders>
              <w:top w:val="nil"/>
              <w:left w:val="nil"/>
              <w:bottom w:val="single" w:color="auto" w:sz="4" w:space="0"/>
              <w:right w:val="single" w:color="auto" w:sz="4" w:space="0"/>
            </w:tcBorders>
            <w:shd w:val="clear" w:color="auto" w:fill="auto"/>
            <w:noWrap/>
            <w:vAlign w:val="center"/>
          </w:tcPr>
          <w:p w14:paraId="06578588">
            <w:pPr>
              <w:pStyle w:val="40"/>
            </w:pPr>
            <w:r>
              <w:rPr>
                <w:rFonts w:hint="eastAsia"/>
              </w:rPr>
              <w:t>25749</w:t>
            </w:r>
          </w:p>
        </w:tc>
        <w:tc>
          <w:tcPr>
            <w:tcW w:w="833" w:type="pct"/>
            <w:tcBorders>
              <w:top w:val="nil"/>
              <w:left w:val="nil"/>
              <w:bottom w:val="single" w:color="auto" w:sz="4" w:space="0"/>
              <w:right w:val="single" w:color="auto" w:sz="8" w:space="0"/>
            </w:tcBorders>
            <w:shd w:val="clear" w:color="auto" w:fill="auto"/>
            <w:noWrap/>
            <w:vAlign w:val="center"/>
          </w:tcPr>
          <w:p w14:paraId="63E1E34C">
            <w:pPr>
              <w:pStyle w:val="40"/>
            </w:pPr>
            <w:r>
              <w:rPr>
                <w:rFonts w:hint="eastAsia"/>
              </w:rPr>
              <w:t>5972</w:t>
            </w:r>
          </w:p>
        </w:tc>
      </w:tr>
      <w:tr w14:paraId="0718A9F0">
        <w:tblPrEx>
          <w:tblCellMar>
            <w:top w:w="0" w:type="dxa"/>
            <w:left w:w="108" w:type="dxa"/>
            <w:bottom w:w="0" w:type="dxa"/>
            <w:right w:w="108" w:type="dxa"/>
          </w:tblCellMar>
        </w:tblPrEx>
        <w:trPr>
          <w:trHeight w:val="285" w:hRule="atLeast"/>
        </w:trPr>
        <w:tc>
          <w:tcPr>
            <w:tcW w:w="833" w:type="pct"/>
            <w:vMerge w:val="continue"/>
            <w:tcBorders>
              <w:top w:val="nil"/>
              <w:left w:val="single" w:color="auto" w:sz="8" w:space="0"/>
              <w:bottom w:val="single" w:color="000000" w:sz="8" w:space="0"/>
              <w:right w:val="single" w:color="auto" w:sz="4" w:space="0"/>
            </w:tcBorders>
            <w:vAlign w:val="center"/>
          </w:tcPr>
          <w:p w14:paraId="5041A82F">
            <w:pPr>
              <w:pStyle w:val="40"/>
            </w:pPr>
          </w:p>
        </w:tc>
        <w:tc>
          <w:tcPr>
            <w:tcW w:w="833" w:type="pct"/>
            <w:tcBorders>
              <w:top w:val="nil"/>
              <w:left w:val="nil"/>
              <w:bottom w:val="single" w:color="auto" w:sz="8" w:space="0"/>
              <w:right w:val="single" w:color="auto" w:sz="4" w:space="0"/>
            </w:tcBorders>
            <w:shd w:val="clear" w:color="auto" w:fill="auto"/>
            <w:noWrap/>
            <w:vAlign w:val="center"/>
          </w:tcPr>
          <w:p w14:paraId="0A44F7D5">
            <w:pPr>
              <w:pStyle w:val="40"/>
            </w:pPr>
            <w:r>
              <w:rPr>
                <w:rFonts w:hint="eastAsia"/>
              </w:rPr>
              <w:t>2019</w:t>
            </w:r>
          </w:p>
        </w:tc>
        <w:tc>
          <w:tcPr>
            <w:tcW w:w="833" w:type="pct"/>
            <w:tcBorders>
              <w:top w:val="nil"/>
              <w:left w:val="nil"/>
              <w:bottom w:val="single" w:color="auto" w:sz="8" w:space="0"/>
              <w:right w:val="single" w:color="auto" w:sz="4" w:space="0"/>
            </w:tcBorders>
            <w:shd w:val="clear" w:color="auto" w:fill="auto"/>
            <w:noWrap/>
            <w:vAlign w:val="center"/>
          </w:tcPr>
          <w:p w14:paraId="5C4B2758">
            <w:pPr>
              <w:pStyle w:val="40"/>
            </w:pPr>
            <w:r>
              <w:rPr>
                <w:rFonts w:hint="eastAsia"/>
              </w:rPr>
              <w:t>41046</w:t>
            </w:r>
          </w:p>
        </w:tc>
        <w:tc>
          <w:tcPr>
            <w:tcW w:w="833" w:type="pct"/>
            <w:tcBorders>
              <w:top w:val="nil"/>
              <w:left w:val="nil"/>
              <w:bottom w:val="single" w:color="auto" w:sz="8" w:space="0"/>
              <w:right w:val="single" w:color="auto" w:sz="4" w:space="0"/>
            </w:tcBorders>
            <w:shd w:val="clear" w:color="auto" w:fill="auto"/>
            <w:noWrap/>
            <w:vAlign w:val="center"/>
          </w:tcPr>
          <w:p w14:paraId="6974B514">
            <w:pPr>
              <w:pStyle w:val="40"/>
            </w:pPr>
            <w:r>
              <w:rPr>
                <w:rFonts w:hint="eastAsia"/>
              </w:rPr>
              <w:t>8629</w:t>
            </w:r>
          </w:p>
        </w:tc>
        <w:tc>
          <w:tcPr>
            <w:tcW w:w="833" w:type="pct"/>
            <w:tcBorders>
              <w:top w:val="nil"/>
              <w:left w:val="nil"/>
              <w:bottom w:val="single" w:color="auto" w:sz="8" w:space="0"/>
              <w:right w:val="single" w:color="auto" w:sz="4" w:space="0"/>
            </w:tcBorders>
            <w:shd w:val="clear" w:color="auto" w:fill="auto"/>
            <w:noWrap/>
            <w:vAlign w:val="center"/>
          </w:tcPr>
          <w:p w14:paraId="4445E0C6">
            <w:pPr>
              <w:pStyle w:val="40"/>
            </w:pPr>
            <w:r>
              <w:rPr>
                <w:rFonts w:hint="eastAsia"/>
              </w:rPr>
              <w:t>26283</w:t>
            </w:r>
          </w:p>
        </w:tc>
        <w:tc>
          <w:tcPr>
            <w:tcW w:w="833" w:type="pct"/>
            <w:tcBorders>
              <w:top w:val="nil"/>
              <w:left w:val="nil"/>
              <w:bottom w:val="single" w:color="auto" w:sz="8" w:space="0"/>
              <w:right w:val="single" w:color="auto" w:sz="8" w:space="0"/>
            </w:tcBorders>
            <w:shd w:val="clear" w:color="auto" w:fill="auto"/>
            <w:noWrap/>
            <w:vAlign w:val="center"/>
          </w:tcPr>
          <w:p w14:paraId="6BBC806D">
            <w:pPr>
              <w:pStyle w:val="40"/>
            </w:pPr>
            <w:r>
              <w:rPr>
                <w:rFonts w:hint="eastAsia"/>
              </w:rPr>
              <w:t>6134</w:t>
            </w:r>
          </w:p>
        </w:tc>
      </w:tr>
      <w:tr w14:paraId="2A2013B2">
        <w:tblPrEx>
          <w:tblCellMar>
            <w:top w:w="0" w:type="dxa"/>
            <w:left w:w="108" w:type="dxa"/>
            <w:bottom w:w="0" w:type="dxa"/>
            <w:right w:w="108" w:type="dxa"/>
          </w:tblCellMar>
        </w:tblPrEx>
        <w:trPr>
          <w:trHeight w:val="278" w:hRule="atLeast"/>
        </w:trPr>
        <w:tc>
          <w:tcPr>
            <w:tcW w:w="833" w:type="pct"/>
            <w:vMerge w:val="restart"/>
            <w:tcBorders>
              <w:top w:val="nil"/>
              <w:left w:val="single" w:color="auto" w:sz="4" w:space="0"/>
              <w:bottom w:val="single" w:color="auto" w:sz="4" w:space="0"/>
              <w:right w:val="single" w:color="auto" w:sz="4" w:space="0"/>
            </w:tcBorders>
            <w:shd w:val="clear" w:color="auto" w:fill="auto"/>
            <w:noWrap/>
            <w:vAlign w:val="center"/>
          </w:tcPr>
          <w:p w14:paraId="5B1E04ED">
            <w:pPr>
              <w:pStyle w:val="40"/>
            </w:pPr>
            <w:r>
              <w:rPr>
                <w:rFonts w:hint="eastAsia"/>
              </w:rPr>
              <w:t>预测数据</w:t>
            </w:r>
          </w:p>
        </w:tc>
        <w:tc>
          <w:tcPr>
            <w:tcW w:w="833" w:type="pct"/>
            <w:tcBorders>
              <w:top w:val="nil"/>
              <w:left w:val="nil"/>
              <w:bottom w:val="single" w:color="auto" w:sz="4" w:space="0"/>
              <w:right w:val="single" w:color="auto" w:sz="4" w:space="0"/>
            </w:tcBorders>
            <w:shd w:val="clear" w:color="000000" w:fill="DDEBF7"/>
            <w:noWrap/>
            <w:vAlign w:val="center"/>
          </w:tcPr>
          <w:p w14:paraId="6223A20A">
            <w:pPr>
              <w:pStyle w:val="40"/>
            </w:pPr>
            <w:r>
              <w:rPr>
                <w:rFonts w:hint="eastAsia"/>
              </w:rPr>
              <w:t>2020</w:t>
            </w:r>
          </w:p>
        </w:tc>
        <w:tc>
          <w:tcPr>
            <w:tcW w:w="833" w:type="pct"/>
            <w:tcBorders>
              <w:top w:val="nil"/>
              <w:left w:val="nil"/>
              <w:bottom w:val="single" w:color="auto" w:sz="4" w:space="0"/>
              <w:right w:val="single" w:color="auto" w:sz="4" w:space="0"/>
            </w:tcBorders>
            <w:shd w:val="clear" w:color="000000" w:fill="DDEBF7"/>
            <w:noWrap/>
            <w:vAlign w:val="center"/>
          </w:tcPr>
          <w:p w14:paraId="317331AF">
            <w:pPr>
              <w:pStyle w:val="40"/>
            </w:pPr>
            <w:r>
              <w:rPr>
                <w:rFonts w:hint="eastAsia"/>
              </w:rPr>
              <w:t>41876</w:t>
            </w:r>
          </w:p>
        </w:tc>
        <w:tc>
          <w:tcPr>
            <w:tcW w:w="833" w:type="pct"/>
            <w:tcBorders>
              <w:top w:val="nil"/>
              <w:left w:val="nil"/>
              <w:bottom w:val="single" w:color="auto" w:sz="4" w:space="0"/>
              <w:right w:val="single" w:color="auto" w:sz="4" w:space="0"/>
            </w:tcBorders>
            <w:shd w:val="clear" w:color="000000" w:fill="DDEBF7"/>
            <w:noWrap/>
            <w:vAlign w:val="center"/>
          </w:tcPr>
          <w:p w14:paraId="28E16088">
            <w:pPr>
              <w:pStyle w:val="40"/>
            </w:pPr>
            <w:r>
              <w:rPr>
                <w:rFonts w:hint="eastAsia"/>
              </w:rPr>
              <w:t>9217</w:t>
            </w:r>
          </w:p>
        </w:tc>
        <w:tc>
          <w:tcPr>
            <w:tcW w:w="833" w:type="pct"/>
            <w:tcBorders>
              <w:top w:val="nil"/>
              <w:left w:val="nil"/>
              <w:bottom w:val="single" w:color="auto" w:sz="4" w:space="0"/>
              <w:right w:val="single" w:color="auto" w:sz="4" w:space="0"/>
            </w:tcBorders>
            <w:shd w:val="clear" w:color="000000" w:fill="DDEBF7"/>
            <w:noWrap/>
            <w:vAlign w:val="center"/>
          </w:tcPr>
          <w:p w14:paraId="0E0FE765">
            <w:pPr>
              <w:pStyle w:val="40"/>
            </w:pPr>
            <w:r>
              <w:rPr>
                <w:rFonts w:hint="eastAsia"/>
              </w:rPr>
              <w:t>26727</w:t>
            </w:r>
          </w:p>
        </w:tc>
        <w:tc>
          <w:tcPr>
            <w:tcW w:w="833" w:type="pct"/>
            <w:tcBorders>
              <w:top w:val="nil"/>
              <w:left w:val="nil"/>
              <w:bottom w:val="single" w:color="auto" w:sz="4" w:space="0"/>
              <w:right w:val="single" w:color="auto" w:sz="4" w:space="0"/>
            </w:tcBorders>
            <w:shd w:val="clear" w:color="000000" w:fill="DDEBF7"/>
            <w:noWrap/>
            <w:vAlign w:val="center"/>
          </w:tcPr>
          <w:p w14:paraId="3B32414C">
            <w:pPr>
              <w:pStyle w:val="40"/>
            </w:pPr>
            <w:r>
              <w:rPr>
                <w:rFonts w:hint="eastAsia"/>
              </w:rPr>
              <w:t>5932</w:t>
            </w:r>
          </w:p>
        </w:tc>
      </w:tr>
      <w:tr w14:paraId="1115FC71">
        <w:tblPrEx>
          <w:tblCellMar>
            <w:top w:w="0" w:type="dxa"/>
            <w:left w:w="108" w:type="dxa"/>
            <w:bottom w:w="0" w:type="dxa"/>
            <w:right w:w="108" w:type="dxa"/>
          </w:tblCellMar>
        </w:tblPrEx>
        <w:trPr>
          <w:trHeight w:val="278" w:hRule="atLeast"/>
        </w:trPr>
        <w:tc>
          <w:tcPr>
            <w:tcW w:w="833" w:type="pct"/>
            <w:vMerge w:val="continue"/>
            <w:tcBorders>
              <w:top w:val="nil"/>
              <w:left w:val="single" w:color="auto" w:sz="4" w:space="0"/>
              <w:bottom w:val="single" w:color="auto" w:sz="4" w:space="0"/>
              <w:right w:val="single" w:color="auto" w:sz="4" w:space="0"/>
            </w:tcBorders>
            <w:vAlign w:val="center"/>
          </w:tcPr>
          <w:p w14:paraId="0C6183DE">
            <w:pPr>
              <w:pStyle w:val="40"/>
            </w:pPr>
          </w:p>
        </w:tc>
        <w:tc>
          <w:tcPr>
            <w:tcW w:w="833" w:type="pct"/>
            <w:tcBorders>
              <w:top w:val="nil"/>
              <w:left w:val="nil"/>
              <w:bottom w:val="single" w:color="auto" w:sz="4" w:space="0"/>
              <w:right w:val="single" w:color="auto" w:sz="4" w:space="0"/>
            </w:tcBorders>
            <w:shd w:val="clear" w:color="000000" w:fill="DDEBF7"/>
            <w:noWrap/>
            <w:vAlign w:val="center"/>
          </w:tcPr>
          <w:p w14:paraId="31F63E7F">
            <w:pPr>
              <w:pStyle w:val="40"/>
            </w:pPr>
            <w:r>
              <w:rPr>
                <w:rFonts w:hint="eastAsia"/>
              </w:rPr>
              <w:t>2021</w:t>
            </w:r>
          </w:p>
        </w:tc>
        <w:tc>
          <w:tcPr>
            <w:tcW w:w="833" w:type="pct"/>
            <w:tcBorders>
              <w:top w:val="nil"/>
              <w:left w:val="nil"/>
              <w:bottom w:val="single" w:color="auto" w:sz="4" w:space="0"/>
              <w:right w:val="single" w:color="auto" w:sz="4" w:space="0"/>
            </w:tcBorders>
            <w:shd w:val="clear" w:color="000000" w:fill="DDEBF7"/>
            <w:noWrap/>
            <w:vAlign w:val="center"/>
          </w:tcPr>
          <w:p w14:paraId="7122B6D0">
            <w:pPr>
              <w:pStyle w:val="40"/>
            </w:pPr>
            <w:r>
              <w:rPr>
                <w:rFonts w:hint="eastAsia"/>
              </w:rPr>
              <w:t>42828</w:t>
            </w:r>
          </w:p>
        </w:tc>
        <w:tc>
          <w:tcPr>
            <w:tcW w:w="833" w:type="pct"/>
            <w:tcBorders>
              <w:top w:val="nil"/>
              <w:left w:val="nil"/>
              <w:bottom w:val="single" w:color="auto" w:sz="4" w:space="0"/>
              <w:right w:val="single" w:color="auto" w:sz="4" w:space="0"/>
            </w:tcBorders>
            <w:shd w:val="clear" w:color="000000" w:fill="DDEBF7"/>
            <w:noWrap/>
            <w:vAlign w:val="center"/>
          </w:tcPr>
          <w:p w14:paraId="0E814435">
            <w:pPr>
              <w:pStyle w:val="40"/>
            </w:pPr>
            <w:r>
              <w:rPr>
                <w:rFonts w:hint="eastAsia"/>
              </w:rPr>
              <w:t>9726</w:t>
            </w:r>
          </w:p>
        </w:tc>
        <w:tc>
          <w:tcPr>
            <w:tcW w:w="833" w:type="pct"/>
            <w:tcBorders>
              <w:top w:val="nil"/>
              <w:left w:val="nil"/>
              <w:bottom w:val="single" w:color="auto" w:sz="4" w:space="0"/>
              <w:right w:val="single" w:color="auto" w:sz="4" w:space="0"/>
            </w:tcBorders>
            <w:shd w:val="clear" w:color="000000" w:fill="DDEBF7"/>
            <w:noWrap/>
            <w:vAlign w:val="center"/>
          </w:tcPr>
          <w:p w14:paraId="2941DD2E">
            <w:pPr>
              <w:pStyle w:val="40"/>
            </w:pPr>
            <w:r>
              <w:rPr>
                <w:rFonts w:hint="eastAsia"/>
              </w:rPr>
              <w:t>27089</w:t>
            </w:r>
          </w:p>
        </w:tc>
        <w:tc>
          <w:tcPr>
            <w:tcW w:w="833" w:type="pct"/>
            <w:tcBorders>
              <w:top w:val="nil"/>
              <w:left w:val="nil"/>
              <w:bottom w:val="single" w:color="auto" w:sz="4" w:space="0"/>
              <w:right w:val="single" w:color="auto" w:sz="4" w:space="0"/>
            </w:tcBorders>
            <w:shd w:val="clear" w:color="000000" w:fill="DDEBF7"/>
            <w:noWrap/>
            <w:vAlign w:val="center"/>
          </w:tcPr>
          <w:p w14:paraId="409528A2">
            <w:pPr>
              <w:pStyle w:val="40"/>
            </w:pPr>
            <w:r>
              <w:rPr>
                <w:rFonts w:hint="eastAsia"/>
              </w:rPr>
              <w:t>6013</w:t>
            </w:r>
          </w:p>
        </w:tc>
      </w:tr>
      <w:tr w14:paraId="73F3526D">
        <w:tblPrEx>
          <w:tblCellMar>
            <w:top w:w="0" w:type="dxa"/>
            <w:left w:w="108" w:type="dxa"/>
            <w:bottom w:w="0" w:type="dxa"/>
            <w:right w:w="108" w:type="dxa"/>
          </w:tblCellMar>
        </w:tblPrEx>
        <w:trPr>
          <w:trHeight w:val="278" w:hRule="atLeast"/>
        </w:trPr>
        <w:tc>
          <w:tcPr>
            <w:tcW w:w="833" w:type="pct"/>
            <w:vMerge w:val="continue"/>
            <w:tcBorders>
              <w:top w:val="nil"/>
              <w:left w:val="single" w:color="auto" w:sz="4" w:space="0"/>
              <w:bottom w:val="single" w:color="auto" w:sz="4" w:space="0"/>
              <w:right w:val="single" w:color="auto" w:sz="4" w:space="0"/>
            </w:tcBorders>
            <w:vAlign w:val="center"/>
          </w:tcPr>
          <w:p w14:paraId="588ABEB2">
            <w:pPr>
              <w:pStyle w:val="40"/>
            </w:pPr>
          </w:p>
        </w:tc>
        <w:tc>
          <w:tcPr>
            <w:tcW w:w="833" w:type="pct"/>
            <w:tcBorders>
              <w:top w:val="nil"/>
              <w:left w:val="nil"/>
              <w:bottom w:val="single" w:color="auto" w:sz="4" w:space="0"/>
              <w:right w:val="single" w:color="auto" w:sz="4" w:space="0"/>
            </w:tcBorders>
            <w:shd w:val="clear" w:color="000000" w:fill="DDEBF7"/>
            <w:noWrap/>
            <w:vAlign w:val="center"/>
          </w:tcPr>
          <w:p w14:paraId="2016E192">
            <w:pPr>
              <w:pStyle w:val="40"/>
            </w:pPr>
            <w:r>
              <w:rPr>
                <w:rFonts w:hint="eastAsia"/>
              </w:rPr>
              <w:t>2022</w:t>
            </w:r>
          </w:p>
        </w:tc>
        <w:tc>
          <w:tcPr>
            <w:tcW w:w="833" w:type="pct"/>
            <w:tcBorders>
              <w:top w:val="nil"/>
              <w:left w:val="nil"/>
              <w:bottom w:val="single" w:color="auto" w:sz="4" w:space="0"/>
              <w:right w:val="single" w:color="auto" w:sz="4" w:space="0"/>
            </w:tcBorders>
            <w:shd w:val="clear" w:color="000000" w:fill="DDEBF7"/>
            <w:noWrap/>
            <w:vAlign w:val="center"/>
          </w:tcPr>
          <w:p w14:paraId="46A4E336">
            <w:pPr>
              <w:pStyle w:val="40"/>
            </w:pPr>
            <w:r>
              <w:rPr>
                <w:rFonts w:hint="eastAsia"/>
              </w:rPr>
              <w:t>43618</w:t>
            </w:r>
          </w:p>
        </w:tc>
        <w:tc>
          <w:tcPr>
            <w:tcW w:w="833" w:type="pct"/>
            <w:tcBorders>
              <w:top w:val="nil"/>
              <w:left w:val="nil"/>
              <w:bottom w:val="single" w:color="auto" w:sz="4" w:space="0"/>
              <w:right w:val="single" w:color="auto" w:sz="4" w:space="0"/>
            </w:tcBorders>
            <w:shd w:val="clear" w:color="000000" w:fill="DDEBF7"/>
            <w:noWrap/>
            <w:vAlign w:val="center"/>
          </w:tcPr>
          <w:p w14:paraId="74CBA956">
            <w:pPr>
              <w:pStyle w:val="40"/>
            </w:pPr>
            <w:r>
              <w:rPr>
                <w:rFonts w:hint="eastAsia"/>
              </w:rPr>
              <w:t>10184</w:t>
            </w:r>
          </w:p>
        </w:tc>
        <w:tc>
          <w:tcPr>
            <w:tcW w:w="833" w:type="pct"/>
            <w:tcBorders>
              <w:top w:val="nil"/>
              <w:left w:val="nil"/>
              <w:bottom w:val="single" w:color="auto" w:sz="4" w:space="0"/>
              <w:right w:val="single" w:color="auto" w:sz="4" w:space="0"/>
            </w:tcBorders>
            <w:shd w:val="clear" w:color="000000" w:fill="DDEBF7"/>
            <w:noWrap/>
            <w:vAlign w:val="center"/>
          </w:tcPr>
          <w:p w14:paraId="42E850C8">
            <w:pPr>
              <w:pStyle w:val="40"/>
            </w:pPr>
            <w:r>
              <w:rPr>
                <w:rFonts w:hint="eastAsia"/>
              </w:rPr>
              <w:t>27407</w:t>
            </w:r>
          </w:p>
        </w:tc>
        <w:tc>
          <w:tcPr>
            <w:tcW w:w="833" w:type="pct"/>
            <w:tcBorders>
              <w:top w:val="nil"/>
              <w:left w:val="nil"/>
              <w:bottom w:val="single" w:color="auto" w:sz="4" w:space="0"/>
              <w:right w:val="single" w:color="auto" w:sz="4" w:space="0"/>
            </w:tcBorders>
            <w:shd w:val="clear" w:color="000000" w:fill="DDEBF7"/>
            <w:noWrap/>
            <w:vAlign w:val="center"/>
          </w:tcPr>
          <w:p w14:paraId="68AE4331">
            <w:pPr>
              <w:pStyle w:val="40"/>
            </w:pPr>
            <w:r>
              <w:rPr>
                <w:rFonts w:hint="eastAsia"/>
              </w:rPr>
              <w:t>6027</w:t>
            </w:r>
          </w:p>
        </w:tc>
      </w:tr>
      <w:tr w14:paraId="012165A3">
        <w:tblPrEx>
          <w:tblCellMar>
            <w:top w:w="0" w:type="dxa"/>
            <w:left w:w="108" w:type="dxa"/>
            <w:bottom w:w="0" w:type="dxa"/>
            <w:right w:w="108" w:type="dxa"/>
          </w:tblCellMar>
        </w:tblPrEx>
        <w:trPr>
          <w:trHeight w:val="278" w:hRule="atLeast"/>
        </w:trPr>
        <w:tc>
          <w:tcPr>
            <w:tcW w:w="833" w:type="pct"/>
            <w:vMerge w:val="continue"/>
            <w:tcBorders>
              <w:top w:val="nil"/>
              <w:left w:val="single" w:color="auto" w:sz="4" w:space="0"/>
              <w:bottom w:val="single" w:color="auto" w:sz="4" w:space="0"/>
              <w:right w:val="single" w:color="auto" w:sz="4" w:space="0"/>
            </w:tcBorders>
            <w:vAlign w:val="center"/>
          </w:tcPr>
          <w:p w14:paraId="51366F94">
            <w:pPr>
              <w:pStyle w:val="40"/>
            </w:pPr>
          </w:p>
        </w:tc>
        <w:tc>
          <w:tcPr>
            <w:tcW w:w="833" w:type="pct"/>
            <w:tcBorders>
              <w:top w:val="nil"/>
              <w:left w:val="nil"/>
              <w:bottom w:val="single" w:color="auto" w:sz="4" w:space="0"/>
              <w:right w:val="single" w:color="auto" w:sz="4" w:space="0"/>
            </w:tcBorders>
            <w:shd w:val="clear" w:color="000000" w:fill="DDEBF7"/>
            <w:noWrap/>
            <w:vAlign w:val="center"/>
          </w:tcPr>
          <w:p w14:paraId="2197EF30">
            <w:pPr>
              <w:pStyle w:val="40"/>
            </w:pPr>
            <w:r>
              <w:rPr>
                <w:rFonts w:hint="eastAsia"/>
              </w:rPr>
              <w:t>2023</w:t>
            </w:r>
          </w:p>
        </w:tc>
        <w:tc>
          <w:tcPr>
            <w:tcW w:w="833" w:type="pct"/>
            <w:tcBorders>
              <w:top w:val="nil"/>
              <w:left w:val="nil"/>
              <w:bottom w:val="single" w:color="auto" w:sz="4" w:space="0"/>
              <w:right w:val="single" w:color="auto" w:sz="4" w:space="0"/>
            </w:tcBorders>
            <w:shd w:val="clear" w:color="000000" w:fill="DDEBF7"/>
            <w:noWrap/>
            <w:vAlign w:val="center"/>
          </w:tcPr>
          <w:p w14:paraId="764E7877">
            <w:pPr>
              <w:pStyle w:val="40"/>
            </w:pPr>
            <w:r>
              <w:rPr>
                <w:rFonts w:hint="eastAsia"/>
              </w:rPr>
              <w:t>44218</w:t>
            </w:r>
          </w:p>
        </w:tc>
        <w:tc>
          <w:tcPr>
            <w:tcW w:w="833" w:type="pct"/>
            <w:tcBorders>
              <w:top w:val="nil"/>
              <w:left w:val="nil"/>
              <w:bottom w:val="single" w:color="auto" w:sz="4" w:space="0"/>
              <w:right w:val="single" w:color="auto" w:sz="4" w:space="0"/>
            </w:tcBorders>
            <w:shd w:val="clear" w:color="000000" w:fill="DDEBF7"/>
            <w:noWrap/>
            <w:vAlign w:val="center"/>
          </w:tcPr>
          <w:p w14:paraId="22180355">
            <w:pPr>
              <w:pStyle w:val="40"/>
            </w:pPr>
            <w:r>
              <w:rPr>
                <w:rFonts w:hint="eastAsia"/>
              </w:rPr>
              <w:t>10573</w:t>
            </w:r>
          </w:p>
        </w:tc>
        <w:tc>
          <w:tcPr>
            <w:tcW w:w="833" w:type="pct"/>
            <w:tcBorders>
              <w:top w:val="nil"/>
              <w:left w:val="nil"/>
              <w:bottom w:val="single" w:color="auto" w:sz="4" w:space="0"/>
              <w:right w:val="single" w:color="auto" w:sz="4" w:space="0"/>
            </w:tcBorders>
            <w:shd w:val="clear" w:color="000000" w:fill="DDEBF7"/>
            <w:noWrap/>
            <w:vAlign w:val="center"/>
          </w:tcPr>
          <w:p w14:paraId="2C5ACCCC">
            <w:pPr>
              <w:pStyle w:val="40"/>
            </w:pPr>
            <w:r>
              <w:rPr>
                <w:rFonts w:hint="eastAsia"/>
              </w:rPr>
              <w:t>27654</w:t>
            </w:r>
          </w:p>
        </w:tc>
        <w:tc>
          <w:tcPr>
            <w:tcW w:w="833" w:type="pct"/>
            <w:tcBorders>
              <w:top w:val="nil"/>
              <w:left w:val="nil"/>
              <w:bottom w:val="single" w:color="auto" w:sz="4" w:space="0"/>
              <w:right w:val="single" w:color="auto" w:sz="4" w:space="0"/>
            </w:tcBorders>
            <w:shd w:val="clear" w:color="000000" w:fill="DDEBF7"/>
            <w:noWrap/>
            <w:vAlign w:val="center"/>
          </w:tcPr>
          <w:p w14:paraId="4E51D0D2">
            <w:pPr>
              <w:pStyle w:val="40"/>
            </w:pPr>
            <w:r>
              <w:rPr>
                <w:rFonts w:hint="eastAsia"/>
              </w:rPr>
              <w:t>5991</w:t>
            </w:r>
          </w:p>
        </w:tc>
      </w:tr>
      <w:tr w14:paraId="7F813B0F">
        <w:tblPrEx>
          <w:tblCellMar>
            <w:top w:w="0" w:type="dxa"/>
            <w:left w:w="108" w:type="dxa"/>
            <w:bottom w:w="0" w:type="dxa"/>
            <w:right w:w="108" w:type="dxa"/>
          </w:tblCellMar>
        </w:tblPrEx>
        <w:trPr>
          <w:trHeight w:val="278" w:hRule="atLeast"/>
        </w:trPr>
        <w:tc>
          <w:tcPr>
            <w:tcW w:w="833" w:type="pct"/>
            <w:vMerge w:val="continue"/>
            <w:tcBorders>
              <w:top w:val="nil"/>
              <w:left w:val="single" w:color="auto" w:sz="4" w:space="0"/>
              <w:bottom w:val="single" w:color="auto" w:sz="4" w:space="0"/>
              <w:right w:val="single" w:color="auto" w:sz="4" w:space="0"/>
            </w:tcBorders>
            <w:vAlign w:val="center"/>
          </w:tcPr>
          <w:p w14:paraId="78CB5460">
            <w:pPr>
              <w:pStyle w:val="40"/>
            </w:pPr>
          </w:p>
        </w:tc>
        <w:tc>
          <w:tcPr>
            <w:tcW w:w="833" w:type="pct"/>
            <w:tcBorders>
              <w:top w:val="nil"/>
              <w:left w:val="nil"/>
              <w:bottom w:val="single" w:color="auto" w:sz="4" w:space="0"/>
              <w:right w:val="single" w:color="auto" w:sz="4" w:space="0"/>
            </w:tcBorders>
            <w:shd w:val="clear" w:color="000000" w:fill="DDEBF7"/>
            <w:noWrap/>
            <w:vAlign w:val="center"/>
          </w:tcPr>
          <w:p w14:paraId="0EB81F49">
            <w:pPr>
              <w:pStyle w:val="40"/>
            </w:pPr>
            <w:r>
              <w:rPr>
                <w:rFonts w:hint="eastAsia"/>
              </w:rPr>
              <w:t>2024</w:t>
            </w:r>
          </w:p>
        </w:tc>
        <w:tc>
          <w:tcPr>
            <w:tcW w:w="833" w:type="pct"/>
            <w:tcBorders>
              <w:top w:val="nil"/>
              <w:left w:val="nil"/>
              <w:bottom w:val="single" w:color="auto" w:sz="4" w:space="0"/>
              <w:right w:val="single" w:color="auto" w:sz="4" w:space="0"/>
            </w:tcBorders>
            <w:shd w:val="clear" w:color="000000" w:fill="DDEBF7"/>
            <w:noWrap/>
            <w:vAlign w:val="center"/>
          </w:tcPr>
          <w:p w14:paraId="26E8814E">
            <w:pPr>
              <w:pStyle w:val="40"/>
            </w:pPr>
            <w:r>
              <w:rPr>
                <w:rFonts w:hint="eastAsia"/>
              </w:rPr>
              <w:t>44741</w:t>
            </w:r>
          </w:p>
        </w:tc>
        <w:tc>
          <w:tcPr>
            <w:tcW w:w="833" w:type="pct"/>
            <w:tcBorders>
              <w:top w:val="nil"/>
              <w:left w:val="nil"/>
              <w:bottom w:val="single" w:color="auto" w:sz="4" w:space="0"/>
              <w:right w:val="single" w:color="auto" w:sz="4" w:space="0"/>
            </w:tcBorders>
            <w:shd w:val="clear" w:color="000000" w:fill="DDEBF7"/>
            <w:noWrap/>
            <w:vAlign w:val="center"/>
          </w:tcPr>
          <w:p w14:paraId="45F87173">
            <w:pPr>
              <w:pStyle w:val="40"/>
            </w:pPr>
            <w:r>
              <w:rPr>
                <w:rFonts w:hint="eastAsia"/>
              </w:rPr>
              <w:t>10896</w:t>
            </w:r>
          </w:p>
        </w:tc>
        <w:tc>
          <w:tcPr>
            <w:tcW w:w="833" w:type="pct"/>
            <w:tcBorders>
              <w:top w:val="nil"/>
              <w:left w:val="nil"/>
              <w:bottom w:val="single" w:color="auto" w:sz="4" w:space="0"/>
              <w:right w:val="single" w:color="auto" w:sz="4" w:space="0"/>
            </w:tcBorders>
            <w:shd w:val="clear" w:color="000000" w:fill="DDEBF7"/>
            <w:noWrap/>
            <w:vAlign w:val="center"/>
          </w:tcPr>
          <w:p w14:paraId="14FB50AF">
            <w:pPr>
              <w:pStyle w:val="40"/>
            </w:pPr>
            <w:r>
              <w:rPr>
                <w:rFonts w:hint="eastAsia"/>
              </w:rPr>
              <w:t>27835</w:t>
            </w:r>
          </w:p>
        </w:tc>
        <w:tc>
          <w:tcPr>
            <w:tcW w:w="833" w:type="pct"/>
            <w:tcBorders>
              <w:top w:val="nil"/>
              <w:left w:val="nil"/>
              <w:bottom w:val="single" w:color="auto" w:sz="4" w:space="0"/>
              <w:right w:val="single" w:color="auto" w:sz="4" w:space="0"/>
            </w:tcBorders>
            <w:shd w:val="clear" w:color="000000" w:fill="DDEBF7"/>
            <w:noWrap/>
            <w:vAlign w:val="center"/>
          </w:tcPr>
          <w:p w14:paraId="40E44B6C">
            <w:pPr>
              <w:pStyle w:val="40"/>
            </w:pPr>
            <w:r>
              <w:rPr>
                <w:rFonts w:hint="eastAsia"/>
              </w:rPr>
              <w:t>6010</w:t>
            </w:r>
          </w:p>
        </w:tc>
      </w:tr>
      <w:tr w14:paraId="244A6358">
        <w:tblPrEx>
          <w:tblCellMar>
            <w:top w:w="0" w:type="dxa"/>
            <w:left w:w="108" w:type="dxa"/>
            <w:bottom w:w="0" w:type="dxa"/>
            <w:right w:w="108" w:type="dxa"/>
          </w:tblCellMar>
        </w:tblPrEx>
        <w:trPr>
          <w:trHeight w:val="278" w:hRule="atLeast"/>
        </w:trPr>
        <w:tc>
          <w:tcPr>
            <w:tcW w:w="833" w:type="pct"/>
            <w:vMerge w:val="continue"/>
            <w:tcBorders>
              <w:top w:val="nil"/>
              <w:left w:val="single" w:color="auto" w:sz="4" w:space="0"/>
              <w:bottom w:val="single" w:color="auto" w:sz="4" w:space="0"/>
              <w:right w:val="single" w:color="auto" w:sz="4" w:space="0"/>
            </w:tcBorders>
            <w:vAlign w:val="center"/>
          </w:tcPr>
          <w:p w14:paraId="28BF2B80">
            <w:pPr>
              <w:pStyle w:val="40"/>
            </w:pPr>
          </w:p>
        </w:tc>
        <w:tc>
          <w:tcPr>
            <w:tcW w:w="833" w:type="pct"/>
            <w:tcBorders>
              <w:top w:val="nil"/>
              <w:left w:val="nil"/>
              <w:bottom w:val="single" w:color="auto" w:sz="4" w:space="0"/>
              <w:right w:val="single" w:color="auto" w:sz="4" w:space="0"/>
            </w:tcBorders>
            <w:shd w:val="clear" w:color="000000" w:fill="DDEBF7"/>
            <w:noWrap/>
            <w:vAlign w:val="center"/>
          </w:tcPr>
          <w:p w14:paraId="71E1610A">
            <w:pPr>
              <w:pStyle w:val="40"/>
            </w:pPr>
            <w:r>
              <w:rPr>
                <w:rFonts w:hint="eastAsia"/>
              </w:rPr>
              <w:t>2025</w:t>
            </w:r>
          </w:p>
        </w:tc>
        <w:tc>
          <w:tcPr>
            <w:tcW w:w="833" w:type="pct"/>
            <w:tcBorders>
              <w:top w:val="nil"/>
              <w:left w:val="nil"/>
              <w:bottom w:val="single" w:color="auto" w:sz="4" w:space="0"/>
              <w:right w:val="single" w:color="auto" w:sz="4" w:space="0"/>
            </w:tcBorders>
            <w:shd w:val="clear" w:color="000000" w:fill="DDEBF7"/>
            <w:noWrap/>
            <w:vAlign w:val="center"/>
          </w:tcPr>
          <w:p w14:paraId="04986E65">
            <w:pPr>
              <w:pStyle w:val="40"/>
            </w:pPr>
            <w:r>
              <w:rPr>
                <w:rFonts w:hint="eastAsia"/>
              </w:rPr>
              <w:t>45121</w:t>
            </w:r>
          </w:p>
        </w:tc>
        <w:tc>
          <w:tcPr>
            <w:tcW w:w="833" w:type="pct"/>
            <w:tcBorders>
              <w:top w:val="nil"/>
              <w:left w:val="nil"/>
              <w:bottom w:val="single" w:color="auto" w:sz="4" w:space="0"/>
              <w:right w:val="single" w:color="auto" w:sz="4" w:space="0"/>
            </w:tcBorders>
            <w:shd w:val="clear" w:color="000000" w:fill="DDEBF7"/>
            <w:noWrap/>
            <w:vAlign w:val="center"/>
          </w:tcPr>
          <w:p w14:paraId="02356B0E">
            <w:pPr>
              <w:pStyle w:val="40"/>
            </w:pPr>
            <w:r>
              <w:rPr>
                <w:rFonts w:hint="eastAsia"/>
              </w:rPr>
              <w:t>11157</w:t>
            </w:r>
          </w:p>
        </w:tc>
        <w:tc>
          <w:tcPr>
            <w:tcW w:w="833" w:type="pct"/>
            <w:tcBorders>
              <w:top w:val="nil"/>
              <w:left w:val="nil"/>
              <w:bottom w:val="single" w:color="auto" w:sz="4" w:space="0"/>
              <w:right w:val="single" w:color="auto" w:sz="4" w:space="0"/>
            </w:tcBorders>
            <w:shd w:val="clear" w:color="000000" w:fill="DDEBF7"/>
            <w:noWrap/>
            <w:vAlign w:val="center"/>
          </w:tcPr>
          <w:p w14:paraId="2AB37E59">
            <w:pPr>
              <w:pStyle w:val="40"/>
            </w:pPr>
            <w:r>
              <w:rPr>
                <w:rFonts w:hint="eastAsia"/>
              </w:rPr>
              <w:t>27954</w:t>
            </w:r>
          </w:p>
        </w:tc>
        <w:tc>
          <w:tcPr>
            <w:tcW w:w="833" w:type="pct"/>
            <w:tcBorders>
              <w:top w:val="nil"/>
              <w:left w:val="nil"/>
              <w:bottom w:val="single" w:color="auto" w:sz="4" w:space="0"/>
              <w:right w:val="single" w:color="auto" w:sz="4" w:space="0"/>
            </w:tcBorders>
            <w:shd w:val="clear" w:color="000000" w:fill="DDEBF7"/>
            <w:noWrap/>
            <w:vAlign w:val="center"/>
          </w:tcPr>
          <w:p w14:paraId="0B6C646E">
            <w:pPr>
              <w:pStyle w:val="40"/>
            </w:pPr>
            <w:r>
              <w:rPr>
                <w:rFonts w:hint="eastAsia"/>
              </w:rPr>
              <w:t>6009</w:t>
            </w:r>
          </w:p>
        </w:tc>
      </w:tr>
    </w:tbl>
    <w:p w14:paraId="6A06FEE7">
      <w:pPr>
        <w:pStyle w:val="57"/>
        <w:numPr>
          <w:ilvl w:val="0"/>
          <w:numId w:val="19"/>
        </w:numPr>
      </w:pPr>
      <w:r>
        <w:rPr>
          <w:rFonts w:hint="eastAsia"/>
        </w:rPr>
        <w:t>建筑能耗测算</w:t>
      </w:r>
    </w:p>
    <w:p w14:paraId="2A4A13D4">
      <w:r>
        <w:rPr>
          <w:rFonts w:hint="eastAsia"/>
        </w:rPr>
        <w:t>建筑能耗总量由一次能源与电力和供暖的二次能源的活动消耗加总得到，即：</w:t>
      </w:r>
    </w:p>
    <w:p w14:paraId="7D677920">
      <w:pPr>
        <w:ind w:firstLine="0" w:firstLineChars="0"/>
        <w:jc w:val="right"/>
      </w:pPr>
      <m:oMathPara>
        <m:oMath>
          <m:sSub>
            <m:sSubPr>
              <m:ctrlPr>
                <w:rPr>
                  <w:rFonts w:ascii="Cambria Math" w:hAnsi="Cambria Math"/>
                </w:rPr>
              </m:ctrlPr>
            </m:sSubPr>
            <m:e>
              <m:r>
                <m:rPr/>
                <w:rPr>
                  <w:rFonts w:ascii="Cambria Math" w:hAnsi="Cambria Math"/>
                </w:rPr>
                <m:t>E</m:t>
              </m:r>
              <m:ctrlPr>
                <w:rPr>
                  <w:rFonts w:ascii="Cambria Math" w:hAnsi="Cambria Math"/>
                </w:rPr>
              </m:ctrlPr>
            </m:e>
            <m:sub>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hint="eastAsia" w:ascii="Cambria Math" w:hAnsi="Cambria Math"/>
                </w:rPr>
                <m:t>一次</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hint="eastAsia" w:ascii="Cambria Math" w:hAnsi="Cambria Math"/>
                </w:rPr>
                <m:t>二次</m:t>
              </m:r>
              <m:ctrlPr>
                <w:rPr>
                  <w:rFonts w:ascii="Cambria Math" w:hAnsi="Cambria Math"/>
                </w:rPr>
              </m:ctrlPr>
            </m:sub>
          </m:sSub>
        </m:oMath>
      </m:oMathPara>
    </w:p>
    <w:p w14:paraId="529DB92D">
      <w:pPr>
        <w:ind w:firstLine="3542" w:firstLineChars="1476"/>
      </w:pPr>
      <m:oMath>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hint="eastAsia" w:ascii="Cambria Math" w:hAnsi="Cambria Math"/>
              </w:rPr>
              <m:t>一次</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hint="eastAsia" w:ascii="Cambria Math" w:hAnsi="Cambria Math"/>
              </w:rPr>
              <m:t>电力</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hint="eastAsia" w:ascii="Cambria Math" w:hAnsi="Cambria Math"/>
              </w:rPr>
              <m:t>采暖</m:t>
            </m:r>
            <m:ctrlPr>
              <w:rPr>
                <w:rFonts w:ascii="Cambria Math" w:hAnsi="Cambria Math"/>
              </w:rPr>
            </m:ctrlPr>
          </m:sub>
        </m:sSub>
      </m:oMath>
      <w:r>
        <w:t xml:space="preserve">            （B-1）            </w:t>
      </w:r>
    </w:p>
    <w:p w14:paraId="2824EDB0">
      <w:pPr>
        <w:spacing w:line="400" w:lineRule="exact"/>
      </w:pPr>
      <w:r>
        <w:rPr>
          <w:rFonts w:hint="eastAsia"/>
        </w:rPr>
        <w:t>沈阳市建筑运行阶段，建筑能耗主要来自于电力和集中采暖所消耗的二次能源。</w:t>
      </w:r>
    </w:p>
    <w:p w14:paraId="0FED7356">
      <w:pPr>
        <w:pStyle w:val="61"/>
        <w:ind w:firstLine="0"/>
      </w:pPr>
      <w:r>
        <w:t xml:space="preserve">2.1 </w:t>
      </w:r>
      <w:r>
        <w:rPr>
          <w:rFonts w:hint="eastAsia"/>
        </w:rPr>
        <w:t>采暖能源消耗</w:t>
      </w:r>
    </w:p>
    <w:p w14:paraId="29024CFE">
      <w:r>
        <w:rPr>
          <w:rFonts w:hint="eastAsia"/>
        </w:rPr>
        <w:t>基于2</w:t>
      </w:r>
      <w:r>
        <w:t>002</w:t>
      </w:r>
      <w:r>
        <w:rPr>
          <w:rFonts w:hint="eastAsia"/>
        </w:rPr>
        <w:t>-</w:t>
      </w:r>
      <w:r>
        <w:t>2019</w:t>
      </w:r>
      <w:r>
        <w:rPr>
          <w:rFonts w:hint="eastAsia"/>
        </w:rPr>
        <w:t>年《中国城市建设统计年鉴数据》，梳理出沈阳市包括蒸汽与热水的城市集中供暖能源消耗实物量情况。</w:t>
      </w:r>
    </w:p>
    <w:p w14:paraId="3C01918B">
      <w:r>
        <w:rPr>
          <w:rFonts w:hint="eastAsia"/>
        </w:rPr>
        <w:t>表8-</w:t>
      </w:r>
      <w:r>
        <w:t xml:space="preserve">2 </w:t>
      </w:r>
      <w:r>
        <w:rPr>
          <w:rFonts w:hint="eastAsia"/>
        </w:rPr>
        <w:t>城市集中供暖（单位：万吉焦）</w:t>
      </w:r>
    </w:p>
    <w:tbl>
      <w:tblPr>
        <w:tblStyle w:val="20"/>
        <w:tblW w:w="5000" w:type="pct"/>
        <w:tblInd w:w="0" w:type="dxa"/>
        <w:tblLayout w:type="autofit"/>
        <w:tblCellMar>
          <w:top w:w="0" w:type="dxa"/>
          <w:left w:w="108" w:type="dxa"/>
          <w:bottom w:w="0" w:type="dxa"/>
          <w:right w:w="108" w:type="dxa"/>
        </w:tblCellMar>
      </w:tblPr>
      <w:tblGrid>
        <w:gridCol w:w="1216"/>
        <w:gridCol w:w="1217"/>
        <w:gridCol w:w="1219"/>
        <w:gridCol w:w="1217"/>
        <w:gridCol w:w="1219"/>
        <w:gridCol w:w="1217"/>
        <w:gridCol w:w="1217"/>
      </w:tblGrid>
      <w:tr w14:paraId="73E2937A">
        <w:tblPrEx>
          <w:tblCellMar>
            <w:top w:w="0" w:type="dxa"/>
            <w:left w:w="108" w:type="dxa"/>
            <w:bottom w:w="0" w:type="dxa"/>
            <w:right w:w="108" w:type="dxa"/>
          </w:tblCellMar>
        </w:tblPrEx>
        <w:trPr>
          <w:trHeight w:val="278" w:hRule="atLeast"/>
        </w:trPr>
        <w:tc>
          <w:tcPr>
            <w:tcW w:w="714" w:type="pct"/>
            <w:vMerge w:val="restart"/>
            <w:tcBorders>
              <w:top w:val="single" w:color="auto" w:sz="8" w:space="0"/>
              <w:left w:val="single" w:color="auto" w:sz="8" w:space="0"/>
              <w:right w:val="single" w:color="auto" w:sz="4" w:space="0"/>
            </w:tcBorders>
            <w:shd w:val="clear" w:color="auto" w:fill="auto"/>
            <w:vAlign w:val="center"/>
          </w:tcPr>
          <w:p w14:paraId="36E4FD3A">
            <w:pPr>
              <w:pStyle w:val="40"/>
            </w:pPr>
            <w:r>
              <w:rPr>
                <w:rFonts w:hint="eastAsia"/>
              </w:rPr>
              <w:t>年份</w:t>
            </w:r>
          </w:p>
        </w:tc>
        <w:tc>
          <w:tcPr>
            <w:tcW w:w="714" w:type="pct"/>
            <w:vMerge w:val="restart"/>
            <w:tcBorders>
              <w:top w:val="single" w:color="auto" w:sz="4" w:space="0"/>
              <w:left w:val="single" w:color="auto" w:sz="4" w:space="0"/>
              <w:bottom w:val="single" w:color="000000" w:sz="4" w:space="0"/>
              <w:right w:val="nil"/>
            </w:tcBorders>
            <w:shd w:val="clear" w:color="auto" w:fill="auto"/>
            <w:noWrap/>
            <w:vAlign w:val="bottom"/>
          </w:tcPr>
          <w:p w14:paraId="51A92DBC">
            <w:pPr>
              <w:pStyle w:val="40"/>
            </w:pPr>
            <w:r>
              <w:rPr>
                <w:rFonts w:hint="eastAsia"/>
              </w:rPr>
              <w:t>蒸汽</w:t>
            </w:r>
          </w:p>
        </w:tc>
        <w:tc>
          <w:tcPr>
            <w:tcW w:w="715" w:type="pct"/>
            <w:tcBorders>
              <w:top w:val="single" w:color="auto" w:sz="4" w:space="0"/>
              <w:left w:val="nil"/>
              <w:bottom w:val="nil"/>
              <w:right w:val="nil"/>
            </w:tcBorders>
            <w:shd w:val="clear" w:color="auto" w:fill="auto"/>
            <w:noWrap/>
            <w:vAlign w:val="center"/>
          </w:tcPr>
          <w:p w14:paraId="14B25CB2">
            <w:pPr>
              <w:pStyle w:val="40"/>
            </w:pPr>
          </w:p>
        </w:tc>
        <w:tc>
          <w:tcPr>
            <w:tcW w:w="714" w:type="pct"/>
            <w:tcBorders>
              <w:top w:val="single" w:color="auto" w:sz="4" w:space="0"/>
              <w:left w:val="nil"/>
              <w:bottom w:val="nil"/>
              <w:right w:val="single" w:color="auto" w:sz="4" w:space="0"/>
            </w:tcBorders>
            <w:shd w:val="clear" w:color="auto" w:fill="auto"/>
            <w:noWrap/>
            <w:vAlign w:val="center"/>
          </w:tcPr>
          <w:p w14:paraId="1B252F96">
            <w:pPr>
              <w:pStyle w:val="40"/>
            </w:pPr>
          </w:p>
        </w:tc>
        <w:tc>
          <w:tcPr>
            <w:tcW w:w="715" w:type="pct"/>
            <w:vMerge w:val="restart"/>
            <w:tcBorders>
              <w:top w:val="single" w:color="auto" w:sz="4" w:space="0"/>
              <w:left w:val="single" w:color="auto" w:sz="4" w:space="0"/>
              <w:bottom w:val="single" w:color="000000" w:sz="4" w:space="0"/>
              <w:right w:val="nil"/>
            </w:tcBorders>
            <w:shd w:val="clear" w:color="auto" w:fill="auto"/>
            <w:noWrap/>
            <w:vAlign w:val="bottom"/>
          </w:tcPr>
          <w:p w14:paraId="198785CF">
            <w:pPr>
              <w:pStyle w:val="40"/>
            </w:pPr>
            <w:r>
              <w:rPr>
                <w:rFonts w:hint="eastAsia"/>
              </w:rPr>
              <w:t>热水</w:t>
            </w:r>
          </w:p>
        </w:tc>
        <w:tc>
          <w:tcPr>
            <w:tcW w:w="714" w:type="pct"/>
            <w:tcBorders>
              <w:top w:val="single" w:color="auto" w:sz="4" w:space="0"/>
              <w:left w:val="nil"/>
              <w:bottom w:val="nil"/>
              <w:right w:val="nil"/>
            </w:tcBorders>
            <w:shd w:val="clear" w:color="auto" w:fill="auto"/>
            <w:noWrap/>
            <w:vAlign w:val="center"/>
          </w:tcPr>
          <w:p w14:paraId="3D6EBF5A">
            <w:pPr>
              <w:pStyle w:val="40"/>
            </w:pPr>
          </w:p>
        </w:tc>
        <w:tc>
          <w:tcPr>
            <w:tcW w:w="714" w:type="pct"/>
            <w:tcBorders>
              <w:top w:val="single" w:color="auto" w:sz="4" w:space="0"/>
              <w:left w:val="nil"/>
              <w:bottom w:val="nil"/>
              <w:right w:val="single" w:color="auto" w:sz="8" w:space="0"/>
            </w:tcBorders>
            <w:shd w:val="clear" w:color="auto" w:fill="auto"/>
            <w:noWrap/>
            <w:vAlign w:val="center"/>
          </w:tcPr>
          <w:p w14:paraId="4CF739FC">
            <w:pPr>
              <w:pStyle w:val="40"/>
            </w:pPr>
          </w:p>
        </w:tc>
      </w:tr>
      <w:tr w14:paraId="5198CF35">
        <w:tblPrEx>
          <w:tblCellMar>
            <w:top w:w="0" w:type="dxa"/>
            <w:left w:w="108" w:type="dxa"/>
            <w:bottom w:w="0" w:type="dxa"/>
            <w:right w:w="108" w:type="dxa"/>
          </w:tblCellMar>
        </w:tblPrEx>
        <w:trPr>
          <w:trHeight w:val="278" w:hRule="atLeast"/>
        </w:trPr>
        <w:tc>
          <w:tcPr>
            <w:tcW w:w="714" w:type="pct"/>
            <w:vMerge w:val="continue"/>
            <w:tcBorders>
              <w:left w:val="single" w:color="auto" w:sz="8" w:space="0"/>
              <w:bottom w:val="single" w:color="auto" w:sz="4" w:space="0"/>
              <w:right w:val="single" w:color="auto" w:sz="4" w:space="0"/>
            </w:tcBorders>
            <w:shd w:val="clear" w:color="auto" w:fill="auto"/>
            <w:vAlign w:val="center"/>
          </w:tcPr>
          <w:p w14:paraId="579FFEE4">
            <w:pPr>
              <w:pStyle w:val="40"/>
            </w:pPr>
          </w:p>
        </w:tc>
        <w:tc>
          <w:tcPr>
            <w:tcW w:w="714" w:type="pct"/>
            <w:vMerge w:val="continue"/>
            <w:tcBorders>
              <w:top w:val="single" w:color="auto" w:sz="4" w:space="0"/>
              <w:left w:val="single" w:color="auto" w:sz="4" w:space="0"/>
              <w:bottom w:val="single" w:color="000000" w:sz="4" w:space="0"/>
              <w:right w:val="nil"/>
            </w:tcBorders>
            <w:vAlign w:val="center"/>
          </w:tcPr>
          <w:p w14:paraId="2563E075">
            <w:pPr>
              <w:pStyle w:val="40"/>
            </w:pPr>
          </w:p>
        </w:tc>
        <w:tc>
          <w:tcPr>
            <w:tcW w:w="7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1CD3E">
            <w:pPr>
              <w:pStyle w:val="40"/>
            </w:pPr>
            <w:r>
              <w:rPr>
                <w:rFonts w:hint="eastAsia"/>
              </w:rPr>
              <w:t>热电厂</w:t>
            </w:r>
          </w:p>
        </w:tc>
        <w:tc>
          <w:tcPr>
            <w:tcW w:w="714" w:type="pct"/>
            <w:tcBorders>
              <w:top w:val="single" w:color="auto" w:sz="4" w:space="0"/>
              <w:left w:val="nil"/>
              <w:bottom w:val="single" w:color="auto" w:sz="4" w:space="0"/>
              <w:right w:val="single" w:color="auto" w:sz="4" w:space="0"/>
            </w:tcBorders>
            <w:shd w:val="clear" w:color="auto" w:fill="auto"/>
            <w:noWrap/>
            <w:vAlign w:val="center"/>
          </w:tcPr>
          <w:p w14:paraId="277204E5">
            <w:pPr>
              <w:pStyle w:val="40"/>
            </w:pPr>
            <w:r>
              <w:rPr>
                <w:rFonts w:hint="eastAsia"/>
              </w:rPr>
              <w:t>锅炉房</w:t>
            </w:r>
          </w:p>
        </w:tc>
        <w:tc>
          <w:tcPr>
            <w:tcW w:w="715" w:type="pct"/>
            <w:vMerge w:val="continue"/>
            <w:tcBorders>
              <w:top w:val="single" w:color="auto" w:sz="4" w:space="0"/>
              <w:left w:val="single" w:color="auto" w:sz="4" w:space="0"/>
              <w:bottom w:val="single" w:color="000000" w:sz="4" w:space="0"/>
              <w:right w:val="nil"/>
            </w:tcBorders>
            <w:vAlign w:val="center"/>
          </w:tcPr>
          <w:p w14:paraId="1CFE0CDB">
            <w:pPr>
              <w:pStyle w:val="40"/>
            </w:pPr>
          </w:p>
        </w:tc>
        <w:tc>
          <w:tcPr>
            <w:tcW w:w="7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CEC26">
            <w:pPr>
              <w:pStyle w:val="40"/>
            </w:pPr>
            <w:r>
              <w:rPr>
                <w:rFonts w:hint="eastAsia"/>
              </w:rPr>
              <w:t>热电厂</w:t>
            </w:r>
          </w:p>
        </w:tc>
        <w:tc>
          <w:tcPr>
            <w:tcW w:w="714" w:type="pct"/>
            <w:tcBorders>
              <w:top w:val="single" w:color="auto" w:sz="4" w:space="0"/>
              <w:left w:val="nil"/>
              <w:bottom w:val="single" w:color="auto" w:sz="4" w:space="0"/>
              <w:right w:val="single" w:color="auto" w:sz="8" w:space="0"/>
            </w:tcBorders>
            <w:shd w:val="clear" w:color="auto" w:fill="auto"/>
            <w:noWrap/>
            <w:vAlign w:val="center"/>
          </w:tcPr>
          <w:p w14:paraId="391E6C49">
            <w:pPr>
              <w:pStyle w:val="40"/>
            </w:pPr>
            <w:r>
              <w:rPr>
                <w:rFonts w:hint="eastAsia"/>
              </w:rPr>
              <w:t>锅炉房</w:t>
            </w:r>
          </w:p>
        </w:tc>
      </w:tr>
      <w:tr w14:paraId="1190253A">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4F24CD6A">
            <w:pPr>
              <w:pStyle w:val="40"/>
            </w:pPr>
            <w:r>
              <w:rPr>
                <w:rFonts w:hint="eastAsia"/>
              </w:rPr>
              <w:t>2002</w:t>
            </w:r>
          </w:p>
        </w:tc>
        <w:tc>
          <w:tcPr>
            <w:tcW w:w="714" w:type="pct"/>
            <w:tcBorders>
              <w:top w:val="nil"/>
              <w:left w:val="nil"/>
              <w:bottom w:val="single" w:color="auto" w:sz="4" w:space="0"/>
              <w:right w:val="single" w:color="auto" w:sz="4" w:space="0"/>
            </w:tcBorders>
            <w:shd w:val="clear" w:color="auto" w:fill="auto"/>
            <w:noWrap/>
            <w:vAlign w:val="bottom"/>
          </w:tcPr>
          <w:p w14:paraId="23E2A223">
            <w:pPr>
              <w:pStyle w:val="40"/>
            </w:pPr>
            <w:r>
              <w:rPr>
                <w:rFonts w:hint="eastAsia"/>
              </w:rPr>
              <w:t>47</w:t>
            </w:r>
          </w:p>
        </w:tc>
        <w:tc>
          <w:tcPr>
            <w:tcW w:w="715" w:type="pct"/>
            <w:tcBorders>
              <w:top w:val="nil"/>
              <w:left w:val="nil"/>
              <w:bottom w:val="single" w:color="auto" w:sz="4" w:space="0"/>
              <w:right w:val="single" w:color="auto" w:sz="4" w:space="0"/>
            </w:tcBorders>
            <w:shd w:val="clear" w:color="auto" w:fill="auto"/>
            <w:noWrap/>
            <w:vAlign w:val="bottom"/>
          </w:tcPr>
          <w:p w14:paraId="3EC77B85">
            <w:pPr>
              <w:pStyle w:val="40"/>
            </w:pPr>
            <w:r>
              <w:rPr>
                <w:rFonts w:hint="eastAsia"/>
              </w:rPr>
              <w:t>16</w:t>
            </w:r>
          </w:p>
        </w:tc>
        <w:tc>
          <w:tcPr>
            <w:tcW w:w="714" w:type="pct"/>
            <w:tcBorders>
              <w:top w:val="nil"/>
              <w:left w:val="nil"/>
              <w:bottom w:val="single" w:color="auto" w:sz="4" w:space="0"/>
              <w:right w:val="single" w:color="auto" w:sz="4" w:space="0"/>
            </w:tcBorders>
            <w:shd w:val="clear" w:color="auto" w:fill="auto"/>
            <w:noWrap/>
            <w:vAlign w:val="bottom"/>
          </w:tcPr>
          <w:p w14:paraId="7F30C0B8">
            <w:pPr>
              <w:pStyle w:val="40"/>
            </w:pPr>
            <w:r>
              <w:rPr>
                <w:rFonts w:hint="eastAsia"/>
              </w:rPr>
              <w:t>31</w:t>
            </w:r>
          </w:p>
        </w:tc>
        <w:tc>
          <w:tcPr>
            <w:tcW w:w="715" w:type="pct"/>
            <w:tcBorders>
              <w:top w:val="nil"/>
              <w:left w:val="nil"/>
              <w:bottom w:val="single" w:color="auto" w:sz="4" w:space="0"/>
              <w:right w:val="single" w:color="auto" w:sz="4" w:space="0"/>
            </w:tcBorders>
            <w:shd w:val="clear" w:color="auto" w:fill="auto"/>
            <w:noWrap/>
            <w:vAlign w:val="bottom"/>
          </w:tcPr>
          <w:p w14:paraId="23F9A1AF">
            <w:pPr>
              <w:pStyle w:val="40"/>
            </w:pPr>
            <w:r>
              <w:rPr>
                <w:rFonts w:hint="eastAsia"/>
              </w:rPr>
              <w:t>2695</w:t>
            </w:r>
          </w:p>
        </w:tc>
        <w:tc>
          <w:tcPr>
            <w:tcW w:w="714" w:type="pct"/>
            <w:tcBorders>
              <w:top w:val="nil"/>
              <w:left w:val="nil"/>
              <w:bottom w:val="single" w:color="auto" w:sz="4" w:space="0"/>
              <w:right w:val="single" w:color="auto" w:sz="4" w:space="0"/>
            </w:tcBorders>
            <w:shd w:val="clear" w:color="auto" w:fill="auto"/>
            <w:noWrap/>
            <w:vAlign w:val="bottom"/>
          </w:tcPr>
          <w:p w14:paraId="4AC2BB1C">
            <w:pPr>
              <w:pStyle w:val="40"/>
            </w:pPr>
            <w:r>
              <w:rPr>
                <w:rFonts w:hint="eastAsia"/>
              </w:rPr>
              <w:t>1124</w:t>
            </w:r>
          </w:p>
        </w:tc>
        <w:tc>
          <w:tcPr>
            <w:tcW w:w="714" w:type="pct"/>
            <w:tcBorders>
              <w:top w:val="nil"/>
              <w:left w:val="nil"/>
              <w:bottom w:val="single" w:color="auto" w:sz="4" w:space="0"/>
              <w:right w:val="single" w:color="auto" w:sz="8" w:space="0"/>
            </w:tcBorders>
            <w:shd w:val="clear" w:color="auto" w:fill="auto"/>
            <w:noWrap/>
            <w:vAlign w:val="bottom"/>
          </w:tcPr>
          <w:p w14:paraId="5EE222AE">
            <w:pPr>
              <w:pStyle w:val="40"/>
            </w:pPr>
            <w:r>
              <w:rPr>
                <w:rFonts w:hint="eastAsia"/>
              </w:rPr>
              <w:t>1571</w:t>
            </w:r>
          </w:p>
        </w:tc>
      </w:tr>
      <w:tr w14:paraId="029E3C9E">
        <w:tblPrEx>
          <w:tblCellMar>
            <w:top w:w="0" w:type="dxa"/>
            <w:left w:w="108" w:type="dxa"/>
            <w:bottom w:w="0" w:type="dxa"/>
            <w:right w:w="108" w:type="dxa"/>
          </w:tblCellMar>
        </w:tblPrEx>
        <w:trPr>
          <w:trHeight w:val="285"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54B13912">
            <w:pPr>
              <w:pStyle w:val="40"/>
            </w:pPr>
            <w:r>
              <w:rPr>
                <w:rFonts w:hint="eastAsia"/>
              </w:rPr>
              <w:t>2003</w:t>
            </w:r>
          </w:p>
        </w:tc>
        <w:tc>
          <w:tcPr>
            <w:tcW w:w="714" w:type="pct"/>
            <w:tcBorders>
              <w:top w:val="nil"/>
              <w:left w:val="nil"/>
              <w:bottom w:val="single" w:color="auto" w:sz="4" w:space="0"/>
              <w:right w:val="single" w:color="auto" w:sz="4" w:space="0"/>
            </w:tcBorders>
            <w:shd w:val="clear" w:color="auto" w:fill="auto"/>
            <w:noWrap/>
            <w:vAlign w:val="bottom"/>
          </w:tcPr>
          <w:p w14:paraId="162C8C21">
            <w:pPr>
              <w:pStyle w:val="40"/>
            </w:pPr>
            <w:r>
              <w:rPr>
                <w:rFonts w:hint="eastAsia"/>
              </w:rPr>
              <w:t>63</w:t>
            </w:r>
          </w:p>
        </w:tc>
        <w:tc>
          <w:tcPr>
            <w:tcW w:w="715" w:type="pct"/>
            <w:tcBorders>
              <w:top w:val="nil"/>
              <w:left w:val="nil"/>
              <w:bottom w:val="single" w:color="auto" w:sz="4" w:space="0"/>
              <w:right w:val="single" w:color="auto" w:sz="4" w:space="0"/>
            </w:tcBorders>
            <w:shd w:val="clear" w:color="auto" w:fill="auto"/>
            <w:noWrap/>
            <w:vAlign w:val="bottom"/>
          </w:tcPr>
          <w:p w14:paraId="2BCE0760">
            <w:pPr>
              <w:pStyle w:val="40"/>
            </w:pPr>
            <w:r>
              <w:rPr>
                <w:rFonts w:hint="eastAsia"/>
              </w:rPr>
              <w:t>21</w:t>
            </w:r>
          </w:p>
        </w:tc>
        <w:tc>
          <w:tcPr>
            <w:tcW w:w="714" w:type="pct"/>
            <w:tcBorders>
              <w:top w:val="nil"/>
              <w:left w:val="nil"/>
              <w:bottom w:val="single" w:color="auto" w:sz="4" w:space="0"/>
              <w:right w:val="single" w:color="auto" w:sz="4" w:space="0"/>
            </w:tcBorders>
            <w:shd w:val="clear" w:color="auto" w:fill="auto"/>
            <w:noWrap/>
            <w:vAlign w:val="bottom"/>
          </w:tcPr>
          <w:p w14:paraId="4B35B1C3">
            <w:pPr>
              <w:pStyle w:val="40"/>
            </w:pPr>
            <w:r>
              <w:rPr>
                <w:rFonts w:hint="eastAsia"/>
              </w:rPr>
              <w:t>42</w:t>
            </w:r>
          </w:p>
        </w:tc>
        <w:tc>
          <w:tcPr>
            <w:tcW w:w="715" w:type="pct"/>
            <w:tcBorders>
              <w:top w:val="nil"/>
              <w:left w:val="nil"/>
              <w:bottom w:val="single" w:color="auto" w:sz="4" w:space="0"/>
              <w:right w:val="single" w:color="auto" w:sz="4" w:space="0"/>
            </w:tcBorders>
            <w:shd w:val="clear" w:color="auto" w:fill="auto"/>
            <w:noWrap/>
            <w:vAlign w:val="bottom"/>
          </w:tcPr>
          <w:p w14:paraId="5A90AAB1">
            <w:pPr>
              <w:pStyle w:val="40"/>
            </w:pPr>
            <w:r>
              <w:rPr>
                <w:rFonts w:hint="eastAsia"/>
              </w:rPr>
              <w:t>3159</w:t>
            </w:r>
          </w:p>
        </w:tc>
        <w:tc>
          <w:tcPr>
            <w:tcW w:w="714" w:type="pct"/>
            <w:tcBorders>
              <w:top w:val="nil"/>
              <w:left w:val="nil"/>
              <w:bottom w:val="single" w:color="auto" w:sz="4" w:space="0"/>
              <w:right w:val="single" w:color="auto" w:sz="4" w:space="0"/>
            </w:tcBorders>
            <w:shd w:val="clear" w:color="auto" w:fill="auto"/>
            <w:noWrap/>
            <w:vAlign w:val="bottom"/>
          </w:tcPr>
          <w:p w14:paraId="4C549509">
            <w:pPr>
              <w:pStyle w:val="40"/>
            </w:pPr>
            <w:r>
              <w:rPr>
                <w:rFonts w:hint="eastAsia"/>
              </w:rPr>
              <w:t>1365</w:t>
            </w:r>
          </w:p>
        </w:tc>
        <w:tc>
          <w:tcPr>
            <w:tcW w:w="714" w:type="pct"/>
            <w:tcBorders>
              <w:top w:val="nil"/>
              <w:left w:val="nil"/>
              <w:bottom w:val="single" w:color="auto" w:sz="4" w:space="0"/>
              <w:right w:val="single" w:color="auto" w:sz="8" w:space="0"/>
            </w:tcBorders>
            <w:shd w:val="clear" w:color="auto" w:fill="auto"/>
            <w:noWrap/>
            <w:vAlign w:val="bottom"/>
          </w:tcPr>
          <w:p w14:paraId="23C1EEB2">
            <w:pPr>
              <w:pStyle w:val="40"/>
            </w:pPr>
            <w:r>
              <w:rPr>
                <w:rFonts w:hint="eastAsia"/>
              </w:rPr>
              <w:t>1794</w:t>
            </w:r>
          </w:p>
        </w:tc>
      </w:tr>
      <w:tr w14:paraId="5D17C9D5">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529B91F5">
            <w:pPr>
              <w:pStyle w:val="40"/>
            </w:pPr>
            <w:r>
              <w:rPr>
                <w:rFonts w:hint="eastAsia"/>
              </w:rPr>
              <w:t>2004</w:t>
            </w:r>
          </w:p>
        </w:tc>
        <w:tc>
          <w:tcPr>
            <w:tcW w:w="714" w:type="pct"/>
            <w:tcBorders>
              <w:top w:val="nil"/>
              <w:left w:val="nil"/>
              <w:bottom w:val="single" w:color="auto" w:sz="4" w:space="0"/>
              <w:right w:val="single" w:color="auto" w:sz="4" w:space="0"/>
            </w:tcBorders>
            <w:shd w:val="clear" w:color="auto" w:fill="auto"/>
            <w:noWrap/>
            <w:vAlign w:val="bottom"/>
          </w:tcPr>
          <w:p w14:paraId="72818219">
            <w:pPr>
              <w:pStyle w:val="40"/>
            </w:pPr>
            <w:r>
              <w:rPr>
                <w:rFonts w:hint="eastAsia"/>
              </w:rPr>
              <w:t>88</w:t>
            </w:r>
          </w:p>
        </w:tc>
        <w:tc>
          <w:tcPr>
            <w:tcW w:w="715" w:type="pct"/>
            <w:tcBorders>
              <w:top w:val="nil"/>
              <w:left w:val="nil"/>
              <w:bottom w:val="single" w:color="auto" w:sz="4" w:space="0"/>
              <w:right w:val="single" w:color="auto" w:sz="4" w:space="0"/>
            </w:tcBorders>
            <w:shd w:val="clear" w:color="auto" w:fill="auto"/>
            <w:noWrap/>
            <w:vAlign w:val="bottom"/>
          </w:tcPr>
          <w:p w14:paraId="55B2B9FD">
            <w:pPr>
              <w:pStyle w:val="40"/>
            </w:pPr>
            <w:r>
              <w:rPr>
                <w:rFonts w:hint="eastAsia"/>
              </w:rPr>
              <w:t>29</w:t>
            </w:r>
          </w:p>
        </w:tc>
        <w:tc>
          <w:tcPr>
            <w:tcW w:w="714" w:type="pct"/>
            <w:tcBorders>
              <w:top w:val="nil"/>
              <w:left w:val="nil"/>
              <w:bottom w:val="single" w:color="auto" w:sz="4" w:space="0"/>
              <w:right w:val="single" w:color="auto" w:sz="4" w:space="0"/>
            </w:tcBorders>
            <w:shd w:val="clear" w:color="auto" w:fill="auto"/>
            <w:noWrap/>
            <w:vAlign w:val="bottom"/>
          </w:tcPr>
          <w:p w14:paraId="46EFD757">
            <w:pPr>
              <w:pStyle w:val="40"/>
            </w:pPr>
            <w:r>
              <w:rPr>
                <w:rFonts w:hint="eastAsia"/>
              </w:rPr>
              <w:t>59</w:t>
            </w:r>
          </w:p>
        </w:tc>
        <w:tc>
          <w:tcPr>
            <w:tcW w:w="715" w:type="pct"/>
            <w:tcBorders>
              <w:top w:val="nil"/>
              <w:left w:val="nil"/>
              <w:bottom w:val="single" w:color="auto" w:sz="4" w:space="0"/>
              <w:right w:val="single" w:color="auto" w:sz="4" w:space="0"/>
            </w:tcBorders>
            <w:shd w:val="clear" w:color="auto" w:fill="auto"/>
            <w:noWrap/>
            <w:vAlign w:val="bottom"/>
          </w:tcPr>
          <w:p w14:paraId="6694E3C7">
            <w:pPr>
              <w:pStyle w:val="40"/>
            </w:pPr>
            <w:r>
              <w:rPr>
                <w:rFonts w:hint="eastAsia"/>
              </w:rPr>
              <w:t>4105</w:t>
            </w:r>
          </w:p>
        </w:tc>
        <w:tc>
          <w:tcPr>
            <w:tcW w:w="714" w:type="pct"/>
            <w:tcBorders>
              <w:top w:val="nil"/>
              <w:left w:val="nil"/>
              <w:bottom w:val="single" w:color="auto" w:sz="4" w:space="0"/>
              <w:right w:val="single" w:color="auto" w:sz="4" w:space="0"/>
            </w:tcBorders>
            <w:shd w:val="clear" w:color="auto" w:fill="auto"/>
            <w:noWrap/>
            <w:vAlign w:val="bottom"/>
          </w:tcPr>
          <w:p w14:paraId="545DA1CB">
            <w:pPr>
              <w:pStyle w:val="40"/>
            </w:pPr>
            <w:r>
              <w:rPr>
                <w:rFonts w:hint="eastAsia"/>
              </w:rPr>
              <w:t>1642</w:t>
            </w:r>
          </w:p>
        </w:tc>
        <w:tc>
          <w:tcPr>
            <w:tcW w:w="714" w:type="pct"/>
            <w:tcBorders>
              <w:top w:val="nil"/>
              <w:left w:val="nil"/>
              <w:bottom w:val="single" w:color="auto" w:sz="4" w:space="0"/>
              <w:right w:val="single" w:color="auto" w:sz="8" w:space="0"/>
            </w:tcBorders>
            <w:shd w:val="clear" w:color="auto" w:fill="auto"/>
            <w:noWrap/>
            <w:vAlign w:val="bottom"/>
          </w:tcPr>
          <w:p w14:paraId="382F88B3">
            <w:pPr>
              <w:pStyle w:val="40"/>
            </w:pPr>
            <w:r>
              <w:rPr>
                <w:rFonts w:hint="eastAsia"/>
              </w:rPr>
              <w:t>2463</w:t>
            </w:r>
          </w:p>
        </w:tc>
      </w:tr>
      <w:tr w14:paraId="2E1B4E18">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14CBD70A">
            <w:pPr>
              <w:pStyle w:val="40"/>
            </w:pPr>
            <w:r>
              <w:rPr>
                <w:rFonts w:hint="eastAsia"/>
              </w:rPr>
              <w:t>2005</w:t>
            </w:r>
          </w:p>
        </w:tc>
        <w:tc>
          <w:tcPr>
            <w:tcW w:w="714" w:type="pct"/>
            <w:tcBorders>
              <w:top w:val="nil"/>
              <w:left w:val="nil"/>
              <w:bottom w:val="single" w:color="auto" w:sz="4" w:space="0"/>
              <w:right w:val="single" w:color="auto" w:sz="4" w:space="0"/>
            </w:tcBorders>
            <w:shd w:val="clear" w:color="auto" w:fill="auto"/>
            <w:noWrap/>
            <w:vAlign w:val="bottom"/>
          </w:tcPr>
          <w:p w14:paraId="10AB39F7">
            <w:pPr>
              <w:pStyle w:val="40"/>
            </w:pPr>
            <w:r>
              <w:rPr>
                <w:rFonts w:hint="eastAsia"/>
              </w:rPr>
              <w:t>134</w:t>
            </w:r>
          </w:p>
        </w:tc>
        <w:tc>
          <w:tcPr>
            <w:tcW w:w="715" w:type="pct"/>
            <w:tcBorders>
              <w:top w:val="nil"/>
              <w:left w:val="nil"/>
              <w:bottom w:val="single" w:color="auto" w:sz="4" w:space="0"/>
              <w:right w:val="single" w:color="auto" w:sz="4" w:space="0"/>
            </w:tcBorders>
            <w:shd w:val="clear" w:color="auto" w:fill="auto"/>
            <w:noWrap/>
            <w:vAlign w:val="bottom"/>
          </w:tcPr>
          <w:p w14:paraId="2A8ED829">
            <w:pPr>
              <w:pStyle w:val="40"/>
            </w:pPr>
            <w:r>
              <w:rPr>
                <w:rFonts w:hint="eastAsia"/>
              </w:rPr>
              <w:t>43</w:t>
            </w:r>
          </w:p>
        </w:tc>
        <w:tc>
          <w:tcPr>
            <w:tcW w:w="714" w:type="pct"/>
            <w:tcBorders>
              <w:top w:val="nil"/>
              <w:left w:val="nil"/>
              <w:bottom w:val="single" w:color="auto" w:sz="4" w:space="0"/>
              <w:right w:val="single" w:color="auto" w:sz="4" w:space="0"/>
            </w:tcBorders>
            <w:shd w:val="clear" w:color="auto" w:fill="auto"/>
            <w:noWrap/>
            <w:vAlign w:val="bottom"/>
          </w:tcPr>
          <w:p w14:paraId="6ED9F7B2">
            <w:pPr>
              <w:pStyle w:val="40"/>
            </w:pPr>
            <w:r>
              <w:rPr>
                <w:rFonts w:hint="eastAsia"/>
              </w:rPr>
              <w:t>91</w:t>
            </w:r>
          </w:p>
        </w:tc>
        <w:tc>
          <w:tcPr>
            <w:tcW w:w="715" w:type="pct"/>
            <w:tcBorders>
              <w:top w:val="nil"/>
              <w:left w:val="nil"/>
              <w:bottom w:val="single" w:color="auto" w:sz="4" w:space="0"/>
              <w:right w:val="single" w:color="auto" w:sz="4" w:space="0"/>
            </w:tcBorders>
            <w:shd w:val="clear" w:color="auto" w:fill="auto"/>
            <w:noWrap/>
            <w:vAlign w:val="bottom"/>
          </w:tcPr>
          <w:p w14:paraId="7BD338D7">
            <w:pPr>
              <w:pStyle w:val="40"/>
            </w:pPr>
            <w:r>
              <w:rPr>
                <w:rFonts w:hint="eastAsia"/>
              </w:rPr>
              <w:t>6170</w:t>
            </w:r>
          </w:p>
        </w:tc>
        <w:tc>
          <w:tcPr>
            <w:tcW w:w="714" w:type="pct"/>
            <w:tcBorders>
              <w:top w:val="nil"/>
              <w:left w:val="nil"/>
              <w:bottom w:val="single" w:color="auto" w:sz="4" w:space="0"/>
              <w:right w:val="single" w:color="auto" w:sz="4" w:space="0"/>
            </w:tcBorders>
            <w:shd w:val="clear" w:color="auto" w:fill="auto"/>
            <w:noWrap/>
            <w:vAlign w:val="bottom"/>
          </w:tcPr>
          <w:p w14:paraId="36FCF8A0">
            <w:pPr>
              <w:pStyle w:val="40"/>
            </w:pPr>
            <w:r>
              <w:rPr>
                <w:rFonts w:hint="eastAsia"/>
              </w:rPr>
              <w:t>2668</w:t>
            </w:r>
          </w:p>
        </w:tc>
        <w:tc>
          <w:tcPr>
            <w:tcW w:w="714" w:type="pct"/>
            <w:tcBorders>
              <w:top w:val="nil"/>
              <w:left w:val="nil"/>
              <w:bottom w:val="single" w:color="auto" w:sz="4" w:space="0"/>
              <w:right w:val="single" w:color="auto" w:sz="8" w:space="0"/>
            </w:tcBorders>
            <w:shd w:val="clear" w:color="auto" w:fill="auto"/>
            <w:noWrap/>
            <w:vAlign w:val="bottom"/>
          </w:tcPr>
          <w:p w14:paraId="6B8B304B">
            <w:pPr>
              <w:pStyle w:val="40"/>
            </w:pPr>
            <w:r>
              <w:rPr>
                <w:rFonts w:hint="eastAsia"/>
              </w:rPr>
              <w:t>3502</w:t>
            </w:r>
          </w:p>
        </w:tc>
      </w:tr>
      <w:tr w14:paraId="1EB7AEA8">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439A7CE9">
            <w:pPr>
              <w:pStyle w:val="40"/>
            </w:pPr>
            <w:r>
              <w:rPr>
                <w:rFonts w:hint="eastAsia"/>
              </w:rPr>
              <w:t>2006</w:t>
            </w:r>
          </w:p>
        </w:tc>
        <w:tc>
          <w:tcPr>
            <w:tcW w:w="714" w:type="pct"/>
            <w:tcBorders>
              <w:top w:val="nil"/>
              <w:left w:val="nil"/>
              <w:bottom w:val="single" w:color="auto" w:sz="4" w:space="0"/>
              <w:right w:val="single" w:color="auto" w:sz="4" w:space="0"/>
            </w:tcBorders>
            <w:shd w:val="clear" w:color="auto" w:fill="auto"/>
            <w:noWrap/>
            <w:vAlign w:val="bottom"/>
          </w:tcPr>
          <w:p w14:paraId="2741EBD3">
            <w:pPr>
              <w:pStyle w:val="40"/>
            </w:pPr>
            <w:r>
              <w:rPr>
                <w:rFonts w:hint="eastAsia"/>
              </w:rPr>
              <w:t>116</w:t>
            </w:r>
          </w:p>
        </w:tc>
        <w:tc>
          <w:tcPr>
            <w:tcW w:w="715" w:type="pct"/>
            <w:tcBorders>
              <w:top w:val="nil"/>
              <w:left w:val="nil"/>
              <w:bottom w:val="single" w:color="auto" w:sz="4" w:space="0"/>
              <w:right w:val="single" w:color="auto" w:sz="4" w:space="0"/>
            </w:tcBorders>
            <w:shd w:val="clear" w:color="auto" w:fill="auto"/>
            <w:noWrap/>
            <w:vAlign w:val="bottom"/>
          </w:tcPr>
          <w:p w14:paraId="7A43C04F">
            <w:pPr>
              <w:pStyle w:val="40"/>
            </w:pPr>
            <w:r>
              <w:rPr>
                <w:rFonts w:hint="eastAsia"/>
              </w:rPr>
              <w:t>33</w:t>
            </w:r>
          </w:p>
        </w:tc>
        <w:tc>
          <w:tcPr>
            <w:tcW w:w="714" w:type="pct"/>
            <w:tcBorders>
              <w:top w:val="nil"/>
              <w:left w:val="nil"/>
              <w:bottom w:val="single" w:color="auto" w:sz="4" w:space="0"/>
              <w:right w:val="single" w:color="auto" w:sz="4" w:space="0"/>
            </w:tcBorders>
            <w:shd w:val="clear" w:color="auto" w:fill="auto"/>
            <w:noWrap/>
            <w:vAlign w:val="bottom"/>
          </w:tcPr>
          <w:p w14:paraId="57C79CD0">
            <w:pPr>
              <w:pStyle w:val="40"/>
            </w:pPr>
            <w:r>
              <w:rPr>
                <w:rFonts w:hint="eastAsia"/>
              </w:rPr>
              <w:t>83</w:t>
            </w:r>
          </w:p>
        </w:tc>
        <w:tc>
          <w:tcPr>
            <w:tcW w:w="715" w:type="pct"/>
            <w:tcBorders>
              <w:top w:val="nil"/>
              <w:left w:val="nil"/>
              <w:bottom w:val="single" w:color="auto" w:sz="4" w:space="0"/>
              <w:right w:val="single" w:color="auto" w:sz="4" w:space="0"/>
            </w:tcBorders>
            <w:shd w:val="clear" w:color="auto" w:fill="auto"/>
            <w:noWrap/>
            <w:vAlign w:val="bottom"/>
          </w:tcPr>
          <w:p w14:paraId="676E414F">
            <w:pPr>
              <w:pStyle w:val="40"/>
            </w:pPr>
            <w:r>
              <w:rPr>
                <w:rFonts w:hint="eastAsia"/>
              </w:rPr>
              <w:t>5930</w:t>
            </w:r>
          </w:p>
        </w:tc>
        <w:tc>
          <w:tcPr>
            <w:tcW w:w="714" w:type="pct"/>
            <w:tcBorders>
              <w:top w:val="nil"/>
              <w:left w:val="nil"/>
              <w:bottom w:val="single" w:color="auto" w:sz="4" w:space="0"/>
              <w:right w:val="single" w:color="auto" w:sz="4" w:space="0"/>
            </w:tcBorders>
            <w:shd w:val="clear" w:color="auto" w:fill="auto"/>
            <w:noWrap/>
            <w:vAlign w:val="bottom"/>
          </w:tcPr>
          <w:p w14:paraId="45334EAE">
            <w:pPr>
              <w:pStyle w:val="40"/>
            </w:pPr>
            <w:r>
              <w:rPr>
                <w:rFonts w:hint="eastAsia"/>
              </w:rPr>
              <w:t>2006</w:t>
            </w:r>
          </w:p>
        </w:tc>
        <w:tc>
          <w:tcPr>
            <w:tcW w:w="714" w:type="pct"/>
            <w:tcBorders>
              <w:top w:val="nil"/>
              <w:left w:val="nil"/>
              <w:bottom w:val="single" w:color="auto" w:sz="4" w:space="0"/>
              <w:right w:val="single" w:color="auto" w:sz="8" w:space="0"/>
            </w:tcBorders>
            <w:shd w:val="clear" w:color="auto" w:fill="auto"/>
            <w:noWrap/>
            <w:vAlign w:val="bottom"/>
          </w:tcPr>
          <w:p w14:paraId="079378D9">
            <w:pPr>
              <w:pStyle w:val="40"/>
            </w:pPr>
            <w:r>
              <w:rPr>
                <w:rFonts w:hint="eastAsia"/>
              </w:rPr>
              <w:t>3924</w:t>
            </w:r>
          </w:p>
        </w:tc>
      </w:tr>
      <w:tr w14:paraId="4B60B6F6">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715489BC">
            <w:pPr>
              <w:pStyle w:val="40"/>
            </w:pPr>
            <w:r>
              <w:rPr>
                <w:rFonts w:hint="eastAsia"/>
              </w:rPr>
              <w:t>2007</w:t>
            </w:r>
          </w:p>
        </w:tc>
        <w:tc>
          <w:tcPr>
            <w:tcW w:w="714" w:type="pct"/>
            <w:tcBorders>
              <w:top w:val="nil"/>
              <w:left w:val="nil"/>
              <w:bottom w:val="single" w:color="auto" w:sz="4" w:space="0"/>
              <w:right w:val="single" w:color="auto" w:sz="4" w:space="0"/>
            </w:tcBorders>
            <w:shd w:val="clear" w:color="auto" w:fill="auto"/>
            <w:noWrap/>
            <w:vAlign w:val="bottom"/>
          </w:tcPr>
          <w:p w14:paraId="0EEFA786">
            <w:pPr>
              <w:pStyle w:val="40"/>
            </w:pPr>
            <w:r>
              <w:rPr>
                <w:rFonts w:hint="eastAsia"/>
              </w:rPr>
              <w:t>138</w:t>
            </w:r>
          </w:p>
        </w:tc>
        <w:tc>
          <w:tcPr>
            <w:tcW w:w="715" w:type="pct"/>
            <w:tcBorders>
              <w:top w:val="nil"/>
              <w:left w:val="nil"/>
              <w:bottom w:val="single" w:color="auto" w:sz="4" w:space="0"/>
              <w:right w:val="single" w:color="auto" w:sz="4" w:space="0"/>
            </w:tcBorders>
            <w:shd w:val="clear" w:color="auto" w:fill="auto"/>
            <w:noWrap/>
            <w:vAlign w:val="bottom"/>
          </w:tcPr>
          <w:p w14:paraId="1B419BA7">
            <w:pPr>
              <w:pStyle w:val="40"/>
            </w:pPr>
            <w:r>
              <w:rPr>
                <w:rFonts w:hint="eastAsia"/>
              </w:rPr>
              <w:t>37</w:t>
            </w:r>
          </w:p>
        </w:tc>
        <w:tc>
          <w:tcPr>
            <w:tcW w:w="714" w:type="pct"/>
            <w:tcBorders>
              <w:top w:val="nil"/>
              <w:left w:val="nil"/>
              <w:bottom w:val="single" w:color="auto" w:sz="4" w:space="0"/>
              <w:right w:val="single" w:color="auto" w:sz="4" w:space="0"/>
            </w:tcBorders>
            <w:shd w:val="clear" w:color="auto" w:fill="auto"/>
            <w:noWrap/>
            <w:vAlign w:val="bottom"/>
          </w:tcPr>
          <w:p w14:paraId="0324E397">
            <w:pPr>
              <w:pStyle w:val="40"/>
            </w:pPr>
            <w:r>
              <w:rPr>
                <w:rFonts w:hint="eastAsia"/>
              </w:rPr>
              <w:t>101</w:t>
            </w:r>
          </w:p>
        </w:tc>
        <w:tc>
          <w:tcPr>
            <w:tcW w:w="715" w:type="pct"/>
            <w:tcBorders>
              <w:top w:val="nil"/>
              <w:left w:val="nil"/>
              <w:bottom w:val="single" w:color="auto" w:sz="4" w:space="0"/>
              <w:right w:val="single" w:color="auto" w:sz="4" w:space="0"/>
            </w:tcBorders>
            <w:shd w:val="clear" w:color="auto" w:fill="auto"/>
            <w:noWrap/>
            <w:vAlign w:val="bottom"/>
          </w:tcPr>
          <w:p w14:paraId="6CAC385D">
            <w:pPr>
              <w:pStyle w:val="40"/>
            </w:pPr>
            <w:r>
              <w:rPr>
                <w:rFonts w:hint="eastAsia"/>
              </w:rPr>
              <w:t>6922</w:t>
            </w:r>
          </w:p>
        </w:tc>
        <w:tc>
          <w:tcPr>
            <w:tcW w:w="714" w:type="pct"/>
            <w:tcBorders>
              <w:top w:val="nil"/>
              <w:left w:val="nil"/>
              <w:bottom w:val="single" w:color="auto" w:sz="4" w:space="0"/>
              <w:right w:val="single" w:color="auto" w:sz="4" w:space="0"/>
            </w:tcBorders>
            <w:shd w:val="clear" w:color="auto" w:fill="auto"/>
            <w:noWrap/>
            <w:vAlign w:val="bottom"/>
          </w:tcPr>
          <w:p w14:paraId="549C70FF">
            <w:pPr>
              <w:pStyle w:val="40"/>
            </w:pPr>
            <w:r>
              <w:rPr>
                <w:rFonts w:hint="eastAsia"/>
              </w:rPr>
              <w:t>2033</w:t>
            </w:r>
          </w:p>
        </w:tc>
        <w:tc>
          <w:tcPr>
            <w:tcW w:w="714" w:type="pct"/>
            <w:tcBorders>
              <w:top w:val="nil"/>
              <w:left w:val="nil"/>
              <w:bottom w:val="single" w:color="auto" w:sz="4" w:space="0"/>
              <w:right w:val="single" w:color="auto" w:sz="8" w:space="0"/>
            </w:tcBorders>
            <w:shd w:val="clear" w:color="auto" w:fill="auto"/>
            <w:noWrap/>
            <w:vAlign w:val="bottom"/>
          </w:tcPr>
          <w:p w14:paraId="41AF76F9">
            <w:pPr>
              <w:pStyle w:val="40"/>
            </w:pPr>
            <w:r>
              <w:rPr>
                <w:rFonts w:hint="eastAsia"/>
              </w:rPr>
              <w:t>4889</w:t>
            </w:r>
          </w:p>
        </w:tc>
      </w:tr>
      <w:tr w14:paraId="7A5E073C">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2CFC12AB">
            <w:pPr>
              <w:pStyle w:val="40"/>
            </w:pPr>
            <w:r>
              <w:rPr>
                <w:rFonts w:hint="eastAsia"/>
              </w:rPr>
              <w:t>2008</w:t>
            </w:r>
          </w:p>
        </w:tc>
        <w:tc>
          <w:tcPr>
            <w:tcW w:w="714" w:type="pct"/>
            <w:tcBorders>
              <w:top w:val="nil"/>
              <w:left w:val="nil"/>
              <w:bottom w:val="single" w:color="auto" w:sz="4" w:space="0"/>
              <w:right w:val="single" w:color="auto" w:sz="4" w:space="0"/>
            </w:tcBorders>
            <w:shd w:val="clear" w:color="auto" w:fill="auto"/>
            <w:noWrap/>
            <w:vAlign w:val="bottom"/>
          </w:tcPr>
          <w:p w14:paraId="40054BD1">
            <w:pPr>
              <w:pStyle w:val="40"/>
            </w:pPr>
            <w:r>
              <w:rPr>
                <w:rFonts w:hint="eastAsia"/>
              </w:rPr>
              <w:t>150</w:t>
            </w:r>
          </w:p>
        </w:tc>
        <w:tc>
          <w:tcPr>
            <w:tcW w:w="715" w:type="pct"/>
            <w:tcBorders>
              <w:top w:val="nil"/>
              <w:left w:val="nil"/>
              <w:bottom w:val="single" w:color="auto" w:sz="4" w:space="0"/>
              <w:right w:val="single" w:color="auto" w:sz="4" w:space="0"/>
            </w:tcBorders>
            <w:shd w:val="clear" w:color="auto" w:fill="auto"/>
            <w:noWrap/>
            <w:vAlign w:val="bottom"/>
          </w:tcPr>
          <w:p w14:paraId="2AAE674A">
            <w:pPr>
              <w:pStyle w:val="40"/>
            </w:pPr>
            <w:r>
              <w:rPr>
                <w:rFonts w:hint="eastAsia"/>
              </w:rPr>
              <w:t>37</w:t>
            </w:r>
          </w:p>
        </w:tc>
        <w:tc>
          <w:tcPr>
            <w:tcW w:w="714" w:type="pct"/>
            <w:tcBorders>
              <w:top w:val="nil"/>
              <w:left w:val="nil"/>
              <w:bottom w:val="single" w:color="auto" w:sz="4" w:space="0"/>
              <w:right w:val="single" w:color="auto" w:sz="4" w:space="0"/>
            </w:tcBorders>
            <w:shd w:val="clear" w:color="auto" w:fill="auto"/>
            <w:noWrap/>
            <w:vAlign w:val="bottom"/>
          </w:tcPr>
          <w:p w14:paraId="0D61835B">
            <w:pPr>
              <w:pStyle w:val="40"/>
            </w:pPr>
            <w:r>
              <w:rPr>
                <w:rFonts w:hint="eastAsia"/>
              </w:rPr>
              <w:t>113</w:t>
            </w:r>
          </w:p>
        </w:tc>
        <w:tc>
          <w:tcPr>
            <w:tcW w:w="715" w:type="pct"/>
            <w:tcBorders>
              <w:top w:val="nil"/>
              <w:left w:val="nil"/>
              <w:bottom w:val="single" w:color="auto" w:sz="4" w:space="0"/>
              <w:right w:val="single" w:color="auto" w:sz="4" w:space="0"/>
            </w:tcBorders>
            <w:shd w:val="clear" w:color="auto" w:fill="auto"/>
            <w:noWrap/>
            <w:vAlign w:val="bottom"/>
          </w:tcPr>
          <w:p w14:paraId="68CEEEDA">
            <w:pPr>
              <w:pStyle w:val="40"/>
            </w:pPr>
            <w:r>
              <w:rPr>
                <w:rFonts w:hint="eastAsia"/>
              </w:rPr>
              <w:t>7662</w:t>
            </w:r>
          </w:p>
        </w:tc>
        <w:tc>
          <w:tcPr>
            <w:tcW w:w="714" w:type="pct"/>
            <w:tcBorders>
              <w:top w:val="nil"/>
              <w:left w:val="nil"/>
              <w:bottom w:val="single" w:color="auto" w:sz="4" w:space="0"/>
              <w:right w:val="single" w:color="auto" w:sz="4" w:space="0"/>
            </w:tcBorders>
            <w:shd w:val="clear" w:color="auto" w:fill="auto"/>
            <w:noWrap/>
            <w:vAlign w:val="bottom"/>
          </w:tcPr>
          <w:p w14:paraId="3448EDCF">
            <w:pPr>
              <w:pStyle w:val="40"/>
            </w:pPr>
            <w:r>
              <w:rPr>
                <w:rFonts w:hint="eastAsia"/>
              </w:rPr>
              <w:t>2268</w:t>
            </w:r>
          </w:p>
        </w:tc>
        <w:tc>
          <w:tcPr>
            <w:tcW w:w="714" w:type="pct"/>
            <w:tcBorders>
              <w:top w:val="nil"/>
              <w:left w:val="nil"/>
              <w:bottom w:val="single" w:color="auto" w:sz="4" w:space="0"/>
              <w:right w:val="single" w:color="auto" w:sz="8" w:space="0"/>
            </w:tcBorders>
            <w:shd w:val="clear" w:color="auto" w:fill="auto"/>
            <w:noWrap/>
            <w:vAlign w:val="bottom"/>
          </w:tcPr>
          <w:p w14:paraId="50FE8EB1">
            <w:pPr>
              <w:pStyle w:val="40"/>
            </w:pPr>
            <w:r>
              <w:rPr>
                <w:rFonts w:hint="eastAsia"/>
              </w:rPr>
              <w:t>5394</w:t>
            </w:r>
          </w:p>
        </w:tc>
      </w:tr>
      <w:tr w14:paraId="3F63C0CE">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4EB2282E">
            <w:pPr>
              <w:pStyle w:val="40"/>
            </w:pPr>
            <w:r>
              <w:rPr>
                <w:rFonts w:hint="eastAsia"/>
              </w:rPr>
              <w:t>2009</w:t>
            </w:r>
          </w:p>
        </w:tc>
        <w:tc>
          <w:tcPr>
            <w:tcW w:w="714" w:type="pct"/>
            <w:tcBorders>
              <w:top w:val="nil"/>
              <w:left w:val="nil"/>
              <w:bottom w:val="single" w:color="auto" w:sz="4" w:space="0"/>
              <w:right w:val="single" w:color="auto" w:sz="4" w:space="0"/>
            </w:tcBorders>
            <w:shd w:val="clear" w:color="auto" w:fill="auto"/>
            <w:noWrap/>
            <w:vAlign w:val="bottom"/>
          </w:tcPr>
          <w:p w14:paraId="686E3CA6">
            <w:pPr>
              <w:pStyle w:val="40"/>
            </w:pPr>
            <w:r>
              <w:rPr>
                <w:rFonts w:hint="eastAsia"/>
              </w:rPr>
              <w:t>164</w:t>
            </w:r>
          </w:p>
        </w:tc>
        <w:tc>
          <w:tcPr>
            <w:tcW w:w="715" w:type="pct"/>
            <w:tcBorders>
              <w:top w:val="nil"/>
              <w:left w:val="nil"/>
              <w:bottom w:val="single" w:color="auto" w:sz="4" w:space="0"/>
              <w:right w:val="single" w:color="auto" w:sz="4" w:space="0"/>
            </w:tcBorders>
            <w:shd w:val="clear" w:color="auto" w:fill="auto"/>
            <w:noWrap/>
            <w:vAlign w:val="bottom"/>
          </w:tcPr>
          <w:p w14:paraId="4C80C639">
            <w:pPr>
              <w:pStyle w:val="40"/>
            </w:pPr>
            <w:r>
              <w:rPr>
                <w:rFonts w:hint="eastAsia"/>
              </w:rPr>
              <w:t>40</w:t>
            </w:r>
          </w:p>
        </w:tc>
        <w:tc>
          <w:tcPr>
            <w:tcW w:w="714" w:type="pct"/>
            <w:tcBorders>
              <w:top w:val="nil"/>
              <w:left w:val="nil"/>
              <w:bottom w:val="single" w:color="auto" w:sz="4" w:space="0"/>
              <w:right w:val="single" w:color="auto" w:sz="4" w:space="0"/>
            </w:tcBorders>
            <w:shd w:val="clear" w:color="auto" w:fill="auto"/>
            <w:noWrap/>
            <w:vAlign w:val="bottom"/>
          </w:tcPr>
          <w:p w14:paraId="624B58D5">
            <w:pPr>
              <w:pStyle w:val="40"/>
            </w:pPr>
            <w:r>
              <w:rPr>
                <w:rFonts w:hint="eastAsia"/>
              </w:rPr>
              <w:t>124</w:t>
            </w:r>
          </w:p>
        </w:tc>
        <w:tc>
          <w:tcPr>
            <w:tcW w:w="715" w:type="pct"/>
            <w:tcBorders>
              <w:top w:val="nil"/>
              <w:left w:val="nil"/>
              <w:bottom w:val="single" w:color="auto" w:sz="4" w:space="0"/>
              <w:right w:val="single" w:color="auto" w:sz="4" w:space="0"/>
            </w:tcBorders>
            <w:shd w:val="clear" w:color="auto" w:fill="auto"/>
            <w:noWrap/>
            <w:vAlign w:val="bottom"/>
          </w:tcPr>
          <w:p w14:paraId="75B7FD61">
            <w:pPr>
              <w:pStyle w:val="40"/>
            </w:pPr>
            <w:r>
              <w:rPr>
                <w:rFonts w:hint="eastAsia"/>
              </w:rPr>
              <w:t>8372</w:t>
            </w:r>
          </w:p>
        </w:tc>
        <w:tc>
          <w:tcPr>
            <w:tcW w:w="714" w:type="pct"/>
            <w:tcBorders>
              <w:top w:val="nil"/>
              <w:left w:val="nil"/>
              <w:bottom w:val="single" w:color="auto" w:sz="4" w:space="0"/>
              <w:right w:val="single" w:color="auto" w:sz="4" w:space="0"/>
            </w:tcBorders>
            <w:shd w:val="clear" w:color="auto" w:fill="auto"/>
            <w:noWrap/>
            <w:vAlign w:val="bottom"/>
          </w:tcPr>
          <w:p w14:paraId="3A346EFC">
            <w:pPr>
              <w:pStyle w:val="40"/>
            </w:pPr>
            <w:r>
              <w:rPr>
                <w:rFonts w:hint="eastAsia"/>
              </w:rPr>
              <w:t>2488</w:t>
            </w:r>
          </w:p>
        </w:tc>
        <w:tc>
          <w:tcPr>
            <w:tcW w:w="714" w:type="pct"/>
            <w:tcBorders>
              <w:top w:val="nil"/>
              <w:left w:val="nil"/>
              <w:bottom w:val="single" w:color="auto" w:sz="4" w:space="0"/>
              <w:right w:val="single" w:color="auto" w:sz="8" w:space="0"/>
            </w:tcBorders>
            <w:shd w:val="clear" w:color="auto" w:fill="auto"/>
            <w:noWrap/>
            <w:vAlign w:val="bottom"/>
          </w:tcPr>
          <w:p w14:paraId="6AA390E4">
            <w:pPr>
              <w:pStyle w:val="40"/>
            </w:pPr>
            <w:r>
              <w:rPr>
                <w:rFonts w:hint="eastAsia"/>
              </w:rPr>
              <w:t>5884</w:t>
            </w:r>
          </w:p>
        </w:tc>
      </w:tr>
      <w:tr w14:paraId="51CE7041">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036BD803">
            <w:pPr>
              <w:pStyle w:val="40"/>
            </w:pPr>
            <w:r>
              <w:rPr>
                <w:rFonts w:hint="eastAsia"/>
              </w:rPr>
              <w:t>2010</w:t>
            </w:r>
          </w:p>
        </w:tc>
        <w:tc>
          <w:tcPr>
            <w:tcW w:w="714" w:type="pct"/>
            <w:tcBorders>
              <w:top w:val="nil"/>
              <w:left w:val="nil"/>
              <w:bottom w:val="single" w:color="auto" w:sz="4" w:space="0"/>
              <w:right w:val="single" w:color="auto" w:sz="4" w:space="0"/>
            </w:tcBorders>
            <w:shd w:val="clear" w:color="auto" w:fill="auto"/>
            <w:noWrap/>
            <w:vAlign w:val="bottom"/>
          </w:tcPr>
          <w:p w14:paraId="0A3E908D">
            <w:pPr>
              <w:pStyle w:val="40"/>
            </w:pPr>
            <w:r>
              <w:rPr>
                <w:rFonts w:hint="eastAsia"/>
              </w:rPr>
              <w:t>179</w:t>
            </w:r>
          </w:p>
        </w:tc>
        <w:tc>
          <w:tcPr>
            <w:tcW w:w="715" w:type="pct"/>
            <w:tcBorders>
              <w:top w:val="nil"/>
              <w:left w:val="nil"/>
              <w:bottom w:val="single" w:color="auto" w:sz="4" w:space="0"/>
              <w:right w:val="single" w:color="auto" w:sz="4" w:space="0"/>
            </w:tcBorders>
            <w:shd w:val="clear" w:color="auto" w:fill="auto"/>
            <w:noWrap/>
            <w:vAlign w:val="bottom"/>
          </w:tcPr>
          <w:p w14:paraId="67234E2B">
            <w:pPr>
              <w:pStyle w:val="40"/>
            </w:pPr>
            <w:r>
              <w:rPr>
                <w:rFonts w:hint="eastAsia"/>
              </w:rPr>
              <w:t>43</w:t>
            </w:r>
          </w:p>
        </w:tc>
        <w:tc>
          <w:tcPr>
            <w:tcW w:w="714" w:type="pct"/>
            <w:tcBorders>
              <w:top w:val="nil"/>
              <w:left w:val="nil"/>
              <w:bottom w:val="single" w:color="auto" w:sz="4" w:space="0"/>
              <w:right w:val="single" w:color="auto" w:sz="4" w:space="0"/>
            </w:tcBorders>
            <w:shd w:val="clear" w:color="auto" w:fill="auto"/>
            <w:noWrap/>
            <w:vAlign w:val="bottom"/>
          </w:tcPr>
          <w:p w14:paraId="3AF64037">
            <w:pPr>
              <w:pStyle w:val="40"/>
            </w:pPr>
            <w:r>
              <w:rPr>
                <w:rFonts w:hint="eastAsia"/>
              </w:rPr>
              <w:t>136</w:t>
            </w:r>
          </w:p>
        </w:tc>
        <w:tc>
          <w:tcPr>
            <w:tcW w:w="715" w:type="pct"/>
            <w:tcBorders>
              <w:top w:val="nil"/>
              <w:left w:val="nil"/>
              <w:bottom w:val="single" w:color="auto" w:sz="4" w:space="0"/>
              <w:right w:val="single" w:color="auto" w:sz="4" w:space="0"/>
            </w:tcBorders>
            <w:shd w:val="clear" w:color="auto" w:fill="auto"/>
            <w:noWrap/>
            <w:vAlign w:val="bottom"/>
          </w:tcPr>
          <w:p w14:paraId="650E8690">
            <w:pPr>
              <w:pStyle w:val="40"/>
            </w:pPr>
            <w:r>
              <w:rPr>
                <w:rFonts w:hint="eastAsia"/>
              </w:rPr>
              <w:t>9164</w:t>
            </w:r>
          </w:p>
        </w:tc>
        <w:tc>
          <w:tcPr>
            <w:tcW w:w="714" w:type="pct"/>
            <w:tcBorders>
              <w:top w:val="nil"/>
              <w:left w:val="nil"/>
              <w:bottom w:val="single" w:color="auto" w:sz="4" w:space="0"/>
              <w:right w:val="single" w:color="auto" w:sz="4" w:space="0"/>
            </w:tcBorders>
            <w:shd w:val="clear" w:color="auto" w:fill="auto"/>
            <w:noWrap/>
            <w:vAlign w:val="bottom"/>
          </w:tcPr>
          <w:p w14:paraId="3F21109A">
            <w:pPr>
              <w:pStyle w:val="40"/>
            </w:pPr>
            <w:r>
              <w:rPr>
                <w:rFonts w:hint="eastAsia"/>
              </w:rPr>
              <w:t>2739</w:t>
            </w:r>
          </w:p>
        </w:tc>
        <w:tc>
          <w:tcPr>
            <w:tcW w:w="714" w:type="pct"/>
            <w:tcBorders>
              <w:top w:val="nil"/>
              <w:left w:val="nil"/>
              <w:bottom w:val="single" w:color="auto" w:sz="4" w:space="0"/>
              <w:right w:val="single" w:color="auto" w:sz="8" w:space="0"/>
            </w:tcBorders>
            <w:shd w:val="clear" w:color="auto" w:fill="auto"/>
            <w:noWrap/>
            <w:vAlign w:val="bottom"/>
          </w:tcPr>
          <w:p w14:paraId="4B1302DE">
            <w:pPr>
              <w:pStyle w:val="40"/>
            </w:pPr>
            <w:r>
              <w:rPr>
                <w:rFonts w:hint="eastAsia"/>
              </w:rPr>
              <w:t>6425</w:t>
            </w:r>
          </w:p>
        </w:tc>
      </w:tr>
      <w:tr w14:paraId="6C6ACA6F">
        <w:tblPrEx>
          <w:tblCellMar>
            <w:top w:w="0" w:type="dxa"/>
            <w:left w:w="108" w:type="dxa"/>
            <w:bottom w:w="0" w:type="dxa"/>
            <w:right w:w="108" w:type="dxa"/>
          </w:tblCellMar>
        </w:tblPrEx>
        <w:trPr>
          <w:trHeight w:val="285"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20494291">
            <w:pPr>
              <w:pStyle w:val="40"/>
            </w:pPr>
            <w:r>
              <w:rPr>
                <w:rFonts w:hint="eastAsia"/>
              </w:rPr>
              <w:t>2011</w:t>
            </w:r>
          </w:p>
        </w:tc>
        <w:tc>
          <w:tcPr>
            <w:tcW w:w="714" w:type="pct"/>
            <w:tcBorders>
              <w:top w:val="nil"/>
              <w:left w:val="nil"/>
              <w:bottom w:val="single" w:color="auto" w:sz="4" w:space="0"/>
              <w:right w:val="single" w:color="auto" w:sz="4" w:space="0"/>
            </w:tcBorders>
            <w:shd w:val="clear" w:color="auto" w:fill="auto"/>
            <w:noWrap/>
            <w:vAlign w:val="bottom"/>
          </w:tcPr>
          <w:p w14:paraId="6BB5D29C">
            <w:pPr>
              <w:pStyle w:val="40"/>
            </w:pPr>
            <w:r>
              <w:rPr>
                <w:rFonts w:hint="eastAsia"/>
              </w:rPr>
              <w:t>189</w:t>
            </w:r>
          </w:p>
        </w:tc>
        <w:tc>
          <w:tcPr>
            <w:tcW w:w="715" w:type="pct"/>
            <w:tcBorders>
              <w:top w:val="nil"/>
              <w:left w:val="nil"/>
              <w:bottom w:val="single" w:color="auto" w:sz="4" w:space="0"/>
              <w:right w:val="single" w:color="auto" w:sz="4" w:space="0"/>
            </w:tcBorders>
            <w:shd w:val="clear" w:color="auto" w:fill="auto"/>
            <w:noWrap/>
            <w:vAlign w:val="bottom"/>
          </w:tcPr>
          <w:p w14:paraId="70EE49B0">
            <w:pPr>
              <w:pStyle w:val="40"/>
            </w:pPr>
            <w:r>
              <w:rPr>
                <w:rFonts w:hint="eastAsia"/>
              </w:rPr>
              <w:t>45</w:t>
            </w:r>
          </w:p>
        </w:tc>
        <w:tc>
          <w:tcPr>
            <w:tcW w:w="714" w:type="pct"/>
            <w:tcBorders>
              <w:top w:val="nil"/>
              <w:left w:val="nil"/>
              <w:bottom w:val="single" w:color="auto" w:sz="4" w:space="0"/>
              <w:right w:val="single" w:color="auto" w:sz="4" w:space="0"/>
            </w:tcBorders>
            <w:shd w:val="clear" w:color="auto" w:fill="auto"/>
            <w:noWrap/>
            <w:vAlign w:val="bottom"/>
          </w:tcPr>
          <w:p w14:paraId="36F21DC0">
            <w:pPr>
              <w:pStyle w:val="40"/>
            </w:pPr>
            <w:r>
              <w:rPr>
                <w:rFonts w:hint="eastAsia"/>
              </w:rPr>
              <w:t>144</w:t>
            </w:r>
          </w:p>
        </w:tc>
        <w:tc>
          <w:tcPr>
            <w:tcW w:w="715" w:type="pct"/>
            <w:tcBorders>
              <w:top w:val="nil"/>
              <w:left w:val="nil"/>
              <w:bottom w:val="single" w:color="auto" w:sz="4" w:space="0"/>
              <w:right w:val="single" w:color="auto" w:sz="4" w:space="0"/>
            </w:tcBorders>
            <w:shd w:val="clear" w:color="auto" w:fill="auto"/>
            <w:noWrap/>
            <w:vAlign w:val="bottom"/>
          </w:tcPr>
          <w:p w14:paraId="1819E523">
            <w:pPr>
              <w:pStyle w:val="40"/>
            </w:pPr>
            <w:r>
              <w:rPr>
                <w:rFonts w:hint="eastAsia"/>
              </w:rPr>
              <w:t>8199</w:t>
            </w:r>
          </w:p>
        </w:tc>
        <w:tc>
          <w:tcPr>
            <w:tcW w:w="714" w:type="pct"/>
            <w:tcBorders>
              <w:top w:val="nil"/>
              <w:left w:val="nil"/>
              <w:bottom w:val="single" w:color="auto" w:sz="4" w:space="0"/>
              <w:right w:val="single" w:color="auto" w:sz="4" w:space="0"/>
            </w:tcBorders>
            <w:shd w:val="clear" w:color="auto" w:fill="auto"/>
            <w:noWrap/>
            <w:vAlign w:val="bottom"/>
          </w:tcPr>
          <w:p w14:paraId="6A91147A">
            <w:pPr>
              <w:pStyle w:val="40"/>
            </w:pPr>
            <w:r>
              <w:rPr>
                <w:rFonts w:hint="eastAsia"/>
              </w:rPr>
              <w:t>9711</w:t>
            </w:r>
          </w:p>
        </w:tc>
        <w:tc>
          <w:tcPr>
            <w:tcW w:w="714" w:type="pct"/>
            <w:tcBorders>
              <w:top w:val="nil"/>
              <w:left w:val="nil"/>
              <w:bottom w:val="single" w:color="auto" w:sz="4" w:space="0"/>
              <w:right w:val="single" w:color="auto" w:sz="8" w:space="0"/>
            </w:tcBorders>
            <w:shd w:val="clear" w:color="auto" w:fill="auto"/>
            <w:noWrap/>
            <w:vAlign w:val="bottom"/>
          </w:tcPr>
          <w:p w14:paraId="2837DA30">
            <w:pPr>
              <w:pStyle w:val="40"/>
            </w:pPr>
            <w:r>
              <w:rPr>
                <w:rFonts w:hint="eastAsia"/>
              </w:rPr>
              <w:t>2913</w:t>
            </w:r>
          </w:p>
        </w:tc>
      </w:tr>
      <w:tr w14:paraId="1E40C60C">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12258740">
            <w:pPr>
              <w:pStyle w:val="40"/>
            </w:pPr>
            <w:r>
              <w:rPr>
                <w:rFonts w:hint="eastAsia"/>
              </w:rPr>
              <w:t>2012</w:t>
            </w:r>
          </w:p>
        </w:tc>
        <w:tc>
          <w:tcPr>
            <w:tcW w:w="714" w:type="pct"/>
            <w:tcBorders>
              <w:top w:val="nil"/>
              <w:left w:val="nil"/>
              <w:bottom w:val="single" w:color="auto" w:sz="4" w:space="0"/>
              <w:right w:val="single" w:color="auto" w:sz="4" w:space="0"/>
            </w:tcBorders>
            <w:shd w:val="clear" w:color="auto" w:fill="auto"/>
            <w:noWrap/>
            <w:vAlign w:val="bottom"/>
          </w:tcPr>
          <w:p w14:paraId="744C4BA4">
            <w:pPr>
              <w:pStyle w:val="40"/>
            </w:pPr>
            <w:r>
              <w:rPr>
                <w:rFonts w:hint="eastAsia"/>
              </w:rPr>
              <w:t>200</w:t>
            </w:r>
          </w:p>
        </w:tc>
        <w:tc>
          <w:tcPr>
            <w:tcW w:w="715" w:type="pct"/>
            <w:tcBorders>
              <w:top w:val="nil"/>
              <w:left w:val="nil"/>
              <w:bottom w:val="single" w:color="auto" w:sz="4" w:space="0"/>
              <w:right w:val="single" w:color="auto" w:sz="4" w:space="0"/>
            </w:tcBorders>
            <w:shd w:val="clear" w:color="auto" w:fill="auto"/>
            <w:noWrap/>
            <w:vAlign w:val="bottom"/>
          </w:tcPr>
          <w:p w14:paraId="78C21B78">
            <w:pPr>
              <w:pStyle w:val="40"/>
            </w:pPr>
            <w:r>
              <w:rPr>
                <w:rFonts w:hint="eastAsia"/>
              </w:rPr>
              <w:t>48</w:t>
            </w:r>
          </w:p>
        </w:tc>
        <w:tc>
          <w:tcPr>
            <w:tcW w:w="714" w:type="pct"/>
            <w:tcBorders>
              <w:top w:val="nil"/>
              <w:left w:val="nil"/>
              <w:bottom w:val="single" w:color="auto" w:sz="4" w:space="0"/>
              <w:right w:val="single" w:color="auto" w:sz="4" w:space="0"/>
            </w:tcBorders>
            <w:shd w:val="clear" w:color="auto" w:fill="auto"/>
            <w:noWrap/>
            <w:vAlign w:val="bottom"/>
          </w:tcPr>
          <w:p w14:paraId="424B6FDF">
            <w:pPr>
              <w:pStyle w:val="40"/>
            </w:pPr>
            <w:r>
              <w:rPr>
                <w:rFonts w:hint="eastAsia"/>
              </w:rPr>
              <w:t>152</w:t>
            </w:r>
          </w:p>
        </w:tc>
        <w:tc>
          <w:tcPr>
            <w:tcW w:w="715" w:type="pct"/>
            <w:tcBorders>
              <w:top w:val="nil"/>
              <w:left w:val="nil"/>
              <w:bottom w:val="single" w:color="auto" w:sz="4" w:space="0"/>
              <w:right w:val="single" w:color="auto" w:sz="4" w:space="0"/>
            </w:tcBorders>
            <w:shd w:val="clear" w:color="auto" w:fill="auto"/>
            <w:noWrap/>
            <w:vAlign w:val="bottom"/>
          </w:tcPr>
          <w:p w14:paraId="6940354C">
            <w:pPr>
              <w:pStyle w:val="40"/>
            </w:pPr>
            <w:r>
              <w:rPr>
                <w:rFonts w:hint="eastAsia"/>
              </w:rPr>
              <w:t>10454</w:t>
            </w:r>
          </w:p>
        </w:tc>
        <w:tc>
          <w:tcPr>
            <w:tcW w:w="714" w:type="pct"/>
            <w:tcBorders>
              <w:top w:val="nil"/>
              <w:left w:val="nil"/>
              <w:bottom w:val="single" w:color="auto" w:sz="4" w:space="0"/>
              <w:right w:val="single" w:color="auto" w:sz="4" w:space="0"/>
            </w:tcBorders>
            <w:shd w:val="clear" w:color="auto" w:fill="auto"/>
            <w:noWrap/>
            <w:vAlign w:val="bottom"/>
          </w:tcPr>
          <w:p w14:paraId="5E40D498">
            <w:pPr>
              <w:pStyle w:val="40"/>
            </w:pPr>
            <w:r>
              <w:rPr>
                <w:rFonts w:hint="eastAsia"/>
              </w:rPr>
              <w:t>3147</w:t>
            </w:r>
          </w:p>
        </w:tc>
        <w:tc>
          <w:tcPr>
            <w:tcW w:w="714" w:type="pct"/>
            <w:tcBorders>
              <w:top w:val="nil"/>
              <w:left w:val="nil"/>
              <w:bottom w:val="single" w:color="auto" w:sz="4" w:space="0"/>
              <w:right w:val="single" w:color="auto" w:sz="8" w:space="0"/>
            </w:tcBorders>
            <w:shd w:val="clear" w:color="auto" w:fill="auto"/>
            <w:noWrap/>
            <w:vAlign w:val="bottom"/>
          </w:tcPr>
          <w:p w14:paraId="26C1051E">
            <w:pPr>
              <w:pStyle w:val="40"/>
            </w:pPr>
            <w:r>
              <w:rPr>
                <w:rFonts w:hint="eastAsia"/>
              </w:rPr>
              <w:t>7307</w:t>
            </w:r>
          </w:p>
        </w:tc>
      </w:tr>
      <w:tr w14:paraId="26101A88">
        <w:tblPrEx>
          <w:tblCellMar>
            <w:top w:w="0" w:type="dxa"/>
            <w:left w:w="108" w:type="dxa"/>
            <w:bottom w:w="0" w:type="dxa"/>
            <w:right w:w="108" w:type="dxa"/>
          </w:tblCellMar>
        </w:tblPrEx>
        <w:trPr>
          <w:trHeight w:val="285"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7E8DE138">
            <w:pPr>
              <w:pStyle w:val="40"/>
            </w:pPr>
            <w:r>
              <w:rPr>
                <w:rFonts w:hint="eastAsia"/>
              </w:rPr>
              <w:t>2013</w:t>
            </w:r>
          </w:p>
        </w:tc>
        <w:tc>
          <w:tcPr>
            <w:tcW w:w="714" w:type="pct"/>
            <w:tcBorders>
              <w:top w:val="nil"/>
              <w:left w:val="nil"/>
              <w:bottom w:val="single" w:color="auto" w:sz="4" w:space="0"/>
              <w:right w:val="single" w:color="auto" w:sz="4" w:space="0"/>
            </w:tcBorders>
            <w:shd w:val="clear" w:color="auto" w:fill="auto"/>
            <w:noWrap/>
            <w:vAlign w:val="bottom"/>
          </w:tcPr>
          <w:p w14:paraId="73630526">
            <w:pPr>
              <w:pStyle w:val="40"/>
            </w:pPr>
            <w:r>
              <w:rPr>
                <w:rFonts w:hint="eastAsia"/>
              </w:rPr>
              <w:t>205</w:t>
            </w:r>
          </w:p>
        </w:tc>
        <w:tc>
          <w:tcPr>
            <w:tcW w:w="715" w:type="pct"/>
            <w:tcBorders>
              <w:top w:val="nil"/>
              <w:left w:val="nil"/>
              <w:bottom w:val="single" w:color="auto" w:sz="4" w:space="0"/>
              <w:right w:val="single" w:color="auto" w:sz="4" w:space="0"/>
            </w:tcBorders>
            <w:shd w:val="clear" w:color="auto" w:fill="auto"/>
            <w:noWrap/>
            <w:vAlign w:val="bottom"/>
          </w:tcPr>
          <w:p w14:paraId="5C6CF87C">
            <w:pPr>
              <w:pStyle w:val="40"/>
            </w:pPr>
            <w:r>
              <w:rPr>
                <w:rFonts w:hint="eastAsia"/>
              </w:rPr>
              <w:t>50</w:t>
            </w:r>
          </w:p>
        </w:tc>
        <w:tc>
          <w:tcPr>
            <w:tcW w:w="714" w:type="pct"/>
            <w:tcBorders>
              <w:top w:val="nil"/>
              <w:left w:val="nil"/>
              <w:bottom w:val="single" w:color="auto" w:sz="4" w:space="0"/>
              <w:right w:val="single" w:color="auto" w:sz="4" w:space="0"/>
            </w:tcBorders>
            <w:shd w:val="clear" w:color="auto" w:fill="auto"/>
            <w:noWrap/>
            <w:vAlign w:val="bottom"/>
          </w:tcPr>
          <w:p w14:paraId="3AE2EEB8">
            <w:pPr>
              <w:pStyle w:val="40"/>
            </w:pPr>
            <w:r>
              <w:rPr>
                <w:rFonts w:hint="eastAsia"/>
              </w:rPr>
              <w:t>155</w:t>
            </w:r>
          </w:p>
        </w:tc>
        <w:tc>
          <w:tcPr>
            <w:tcW w:w="715" w:type="pct"/>
            <w:tcBorders>
              <w:top w:val="nil"/>
              <w:left w:val="nil"/>
              <w:bottom w:val="single" w:color="auto" w:sz="4" w:space="0"/>
              <w:right w:val="single" w:color="auto" w:sz="4" w:space="0"/>
            </w:tcBorders>
            <w:shd w:val="clear" w:color="auto" w:fill="auto"/>
            <w:noWrap/>
            <w:vAlign w:val="bottom"/>
          </w:tcPr>
          <w:p w14:paraId="09D7C2AD">
            <w:pPr>
              <w:pStyle w:val="40"/>
            </w:pPr>
            <w:r>
              <w:rPr>
                <w:rFonts w:hint="eastAsia"/>
              </w:rPr>
              <w:t>10903</w:t>
            </w:r>
          </w:p>
        </w:tc>
        <w:tc>
          <w:tcPr>
            <w:tcW w:w="714" w:type="pct"/>
            <w:tcBorders>
              <w:top w:val="nil"/>
              <w:left w:val="nil"/>
              <w:bottom w:val="single" w:color="auto" w:sz="4" w:space="0"/>
              <w:right w:val="single" w:color="auto" w:sz="4" w:space="0"/>
            </w:tcBorders>
            <w:shd w:val="clear" w:color="auto" w:fill="auto"/>
            <w:noWrap/>
            <w:vAlign w:val="bottom"/>
          </w:tcPr>
          <w:p w14:paraId="7A1D03AF">
            <w:pPr>
              <w:pStyle w:val="40"/>
            </w:pPr>
            <w:r>
              <w:rPr>
                <w:rFonts w:hint="eastAsia"/>
              </w:rPr>
              <w:t>3255</w:t>
            </w:r>
          </w:p>
        </w:tc>
        <w:tc>
          <w:tcPr>
            <w:tcW w:w="714" w:type="pct"/>
            <w:tcBorders>
              <w:top w:val="nil"/>
              <w:left w:val="nil"/>
              <w:bottom w:val="single" w:color="auto" w:sz="4" w:space="0"/>
              <w:right w:val="single" w:color="auto" w:sz="8" w:space="0"/>
            </w:tcBorders>
            <w:shd w:val="clear" w:color="auto" w:fill="auto"/>
            <w:noWrap/>
            <w:vAlign w:val="bottom"/>
          </w:tcPr>
          <w:p w14:paraId="1131A88F">
            <w:pPr>
              <w:pStyle w:val="40"/>
            </w:pPr>
            <w:r>
              <w:rPr>
                <w:rFonts w:hint="eastAsia"/>
              </w:rPr>
              <w:t>7648</w:t>
            </w:r>
          </w:p>
        </w:tc>
      </w:tr>
      <w:tr w14:paraId="52E9C9F3">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275C965E">
            <w:pPr>
              <w:pStyle w:val="40"/>
            </w:pPr>
            <w:r>
              <w:rPr>
                <w:rFonts w:hint="eastAsia"/>
              </w:rPr>
              <w:t>2014</w:t>
            </w:r>
          </w:p>
        </w:tc>
        <w:tc>
          <w:tcPr>
            <w:tcW w:w="714" w:type="pct"/>
            <w:tcBorders>
              <w:top w:val="nil"/>
              <w:left w:val="nil"/>
              <w:bottom w:val="single" w:color="auto" w:sz="4" w:space="0"/>
              <w:right w:val="single" w:color="auto" w:sz="4" w:space="0"/>
            </w:tcBorders>
            <w:shd w:val="clear" w:color="auto" w:fill="auto"/>
            <w:noWrap/>
            <w:vAlign w:val="bottom"/>
          </w:tcPr>
          <w:p w14:paraId="7F142B97">
            <w:pPr>
              <w:pStyle w:val="40"/>
            </w:pPr>
            <w:r>
              <w:rPr>
                <w:rFonts w:hint="eastAsia"/>
              </w:rPr>
              <w:t>211</w:t>
            </w:r>
          </w:p>
        </w:tc>
        <w:tc>
          <w:tcPr>
            <w:tcW w:w="715" w:type="pct"/>
            <w:tcBorders>
              <w:top w:val="nil"/>
              <w:left w:val="nil"/>
              <w:bottom w:val="single" w:color="auto" w:sz="4" w:space="0"/>
              <w:right w:val="single" w:color="auto" w:sz="4" w:space="0"/>
            </w:tcBorders>
            <w:shd w:val="clear" w:color="auto" w:fill="auto"/>
            <w:noWrap/>
            <w:vAlign w:val="bottom"/>
          </w:tcPr>
          <w:p w14:paraId="472F300D">
            <w:pPr>
              <w:pStyle w:val="40"/>
            </w:pPr>
            <w:r>
              <w:rPr>
                <w:rFonts w:hint="eastAsia"/>
              </w:rPr>
              <w:t>53</w:t>
            </w:r>
          </w:p>
        </w:tc>
        <w:tc>
          <w:tcPr>
            <w:tcW w:w="714" w:type="pct"/>
            <w:tcBorders>
              <w:top w:val="nil"/>
              <w:left w:val="nil"/>
              <w:bottom w:val="single" w:color="auto" w:sz="4" w:space="0"/>
              <w:right w:val="single" w:color="auto" w:sz="4" w:space="0"/>
            </w:tcBorders>
            <w:shd w:val="clear" w:color="auto" w:fill="auto"/>
            <w:noWrap/>
            <w:vAlign w:val="bottom"/>
          </w:tcPr>
          <w:p w14:paraId="49820EEB">
            <w:pPr>
              <w:pStyle w:val="40"/>
            </w:pPr>
            <w:r>
              <w:rPr>
                <w:rFonts w:hint="eastAsia"/>
              </w:rPr>
              <w:t>158</w:t>
            </w:r>
          </w:p>
        </w:tc>
        <w:tc>
          <w:tcPr>
            <w:tcW w:w="715" w:type="pct"/>
            <w:tcBorders>
              <w:top w:val="nil"/>
              <w:left w:val="nil"/>
              <w:bottom w:val="single" w:color="auto" w:sz="4" w:space="0"/>
              <w:right w:val="single" w:color="auto" w:sz="4" w:space="0"/>
            </w:tcBorders>
            <w:shd w:val="clear" w:color="auto" w:fill="auto"/>
            <w:noWrap/>
            <w:vAlign w:val="bottom"/>
          </w:tcPr>
          <w:p w14:paraId="71374641">
            <w:pPr>
              <w:pStyle w:val="40"/>
            </w:pPr>
            <w:r>
              <w:rPr>
                <w:rFonts w:hint="eastAsia"/>
              </w:rPr>
              <w:t>11666</w:t>
            </w:r>
          </w:p>
        </w:tc>
        <w:tc>
          <w:tcPr>
            <w:tcW w:w="714" w:type="pct"/>
            <w:tcBorders>
              <w:top w:val="nil"/>
              <w:left w:val="nil"/>
              <w:bottom w:val="single" w:color="auto" w:sz="4" w:space="0"/>
              <w:right w:val="single" w:color="auto" w:sz="4" w:space="0"/>
            </w:tcBorders>
            <w:shd w:val="clear" w:color="auto" w:fill="auto"/>
            <w:noWrap/>
            <w:vAlign w:val="bottom"/>
          </w:tcPr>
          <w:p w14:paraId="0D4AC6EF">
            <w:pPr>
              <w:pStyle w:val="40"/>
            </w:pPr>
            <w:r>
              <w:rPr>
                <w:rFonts w:hint="eastAsia"/>
              </w:rPr>
              <w:t>3498</w:t>
            </w:r>
          </w:p>
        </w:tc>
        <w:tc>
          <w:tcPr>
            <w:tcW w:w="714" w:type="pct"/>
            <w:tcBorders>
              <w:top w:val="nil"/>
              <w:left w:val="nil"/>
              <w:bottom w:val="single" w:color="auto" w:sz="4" w:space="0"/>
              <w:right w:val="single" w:color="auto" w:sz="8" w:space="0"/>
            </w:tcBorders>
            <w:shd w:val="clear" w:color="auto" w:fill="auto"/>
            <w:noWrap/>
            <w:vAlign w:val="bottom"/>
          </w:tcPr>
          <w:p w14:paraId="00D69E34">
            <w:pPr>
              <w:pStyle w:val="40"/>
            </w:pPr>
            <w:r>
              <w:rPr>
                <w:rFonts w:hint="eastAsia"/>
              </w:rPr>
              <w:t>8168</w:t>
            </w:r>
          </w:p>
        </w:tc>
      </w:tr>
      <w:tr w14:paraId="48AAC1AD">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7AD1ED29">
            <w:pPr>
              <w:pStyle w:val="40"/>
            </w:pPr>
            <w:r>
              <w:rPr>
                <w:rFonts w:hint="eastAsia"/>
              </w:rPr>
              <w:t>2015</w:t>
            </w:r>
          </w:p>
        </w:tc>
        <w:tc>
          <w:tcPr>
            <w:tcW w:w="714" w:type="pct"/>
            <w:tcBorders>
              <w:top w:val="nil"/>
              <w:left w:val="nil"/>
              <w:bottom w:val="single" w:color="auto" w:sz="4" w:space="0"/>
              <w:right w:val="single" w:color="auto" w:sz="4" w:space="0"/>
            </w:tcBorders>
            <w:shd w:val="clear" w:color="auto" w:fill="auto"/>
            <w:noWrap/>
            <w:vAlign w:val="bottom"/>
          </w:tcPr>
          <w:p w14:paraId="6F95917A">
            <w:pPr>
              <w:pStyle w:val="40"/>
            </w:pPr>
            <w:r>
              <w:rPr>
                <w:rFonts w:hint="eastAsia"/>
              </w:rPr>
              <w:t>218</w:t>
            </w:r>
          </w:p>
        </w:tc>
        <w:tc>
          <w:tcPr>
            <w:tcW w:w="715" w:type="pct"/>
            <w:tcBorders>
              <w:top w:val="nil"/>
              <w:left w:val="nil"/>
              <w:bottom w:val="single" w:color="auto" w:sz="4" w:space="0"/>
              <w:right w:val="single" w:color="auto" w:sz="4" w:space="0"/>
            </w:tcBorders>
            <w:shd w:val="clear" w:color="auto" w:fill="auto"/>
            <w:noWrap/>
            <w:vAlign w:val="bottom"/>
          </w:tcPr>
          <w:p w14:paraId="15FC95B9">
            <w:pPr>
              <w:pStyle w:val="40"/>
            </w:pPr>
            <w:r>
              <w:rPr>
                <w:rFonts w:hint="eastAsia"/>
              </w:rPr>
              <w:t>56</w:t>
            </w:r>
          </w:p>
        </w:tc>
        <w:tc>
          <w:tcPr>
            <w:tcW w:w="714" w:type="pct"/>
            <w:tcBorders>
              <w:top w:val="nil"/>
              <w:left w:val="nil"/>
              <w:bottom w:val="single" w:color="auto" w:sz="4" w:space="0"/>
              <w:right w:val="single" w:color="auto" w:sz="4" w:space="0"/>
            </w:tcBorders>
            <w:shd w:val="clear" w:color="auto" w:fill="auto"/>
            <w:noWrap/>
            <w:vAlign w:val="bottom"/>
          </w:tcPr>
          <w:p w14:paraId="55B122FD">
            <w:pPr>
              <w:pStyle w:val="40"/>
            </w:pPr>
            <w:r>
              <w:rPr>
                <w:rFonts w:hint="eastAsia"/>
              </w:rPr>
              <w:t>162</w:t>
            </w:r>
          </w:p>
        </w:tc>
        <w:tc>
          <w:tcPr>
            <w:tcW w:w="715" w:type="pct"/>
            <w:tcBorders>
              <w:top w:val="nil"/>
              <w:left w:val="nil"/>
              <w:bottom w:val="single" w:color="auto" w:sz="4" w:space="0"/>
              <w:right w:val="single" w:color="auto" w:sz="4" w:space="0"/>
            </w:tcBorders>
            <w:shd w:val="clear" w:color="auto" w:fill="auto"/>
            <w:noWrap/>
            <w:vAlign w:val="bottom"/>
          </w:tcPr>
          <w:p w14:paraId="13B686B3">
            <w:pPr>
              <w:pStyle w:val="40"/>
            </w:pPr>
            <w:r>
              <w:rPr>
                <w:rFonts w:hint="eastAsia"/>
              </w:rPr>
              <w:t>12494</w:t>
            </w:r>
          </w:p>
        </w:tc>
        <w:tc>
          <w:tcPr>
            <w:tcW w:w="714" w:type="pct"/>
            <w:tcBorders>
              <w:top w:val="nil"/>
              <w:left w:val="nil"/>
              <w:bottom w:val="single" w:color="auto" w:sz="4" w:space="0"/>
              <w:right w:val="single" w:color="auto" w:sz="4" w:space="0"/>
            </w:tcBorders>
            <w:shd w:val="clear" w:color="auto" w:fill="auto"/>
            <w:noWrap/>
            <w:vAlign w:val="bottom"/>
          </w:tcPr>
          <w:p w14:paraId="5226432E">
            <w:pPr>
              <w:pStyle w:val="40"/>
            </w:pPr>
            <w:r>
              <w:rPr>
                <w:rFonts w:hint="eastAsia"/>
              </w:rPr>
              <w:t>3760</w:t>
            </w:r>
          </w:p>
        </w:tc>
        <w:tc>
          <w:tcPr>
            <w:tcW w:w="714" w:type="pct"/>
            <w:tcBorders>
              <w:top w:val="nil"/>
              <w:left w:val="nil"/>
              <w:bottom w:val="single" w:color="auto" w:sz="4" w:space="0"/>
              <w:right w:val="single" w:color="auto" w:sz="8" w:space="0"/>
            </w:tcBorders>
            <w:shd w:val="clear" w:color="auto" w:fill="auto"/>
            <w:noWrap/>
            <w:vAlign w:val="bottom"/>
          </w:tcPr>
          <w:p w14:paraId="3CDDCB02">
            <w:pPr>
              <w:pStyle w:val="40"/>
            </w:pPr>
            <w:r>
              <w:rPr>
                <w:rFonts w:hint="eastAsia"/>
              </w:rPr>
              <w:t>8734</w:t>
            </w:r>
          </w:p>
        </w:tc>
      </w:tr>
      <w:tr w14:paraId="3CF92146">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3F0BA1EC">
            <w:pPr>
              <w:pStyle w:val="40"/>
            </w:pPr>
            <w:r>
              <w:rPr>
                <w:rFonts w:hint="eastAsia"/>
              </w:rPr>
              <w:t>2016</w:t>
            </w:r>
          </w:p>
        </w:tc>
        <w:tc>
          <w:tcPr>
            <w:tcW w:w="714" w:type="pct"/>
            <w:tcBorders>
              <w:top w:val="nil"/>
              <w:left w:val="nil"/>
              <w:bottom w:val="single" w:color="auto" w:sz="4" w:space="0"/>
              <w:right w:val="single" w:color="auto" w:sz="4" w:space="0"/>
            </w:tcBorders>
            <w:shd w:val="clear" w:color="auto" w:fill="auto"/>
            <w:noWrap/>
            <w:vAlign w:val="bottom"/>
          </w:tcPr>
          <w:p w14:paraId="72987E9E">
            <w:pPr>
              <w:pStyle w:val="40"/>
            </w:pPr>
            <w:r>
              <w:rPr>
                <w:rFonts w:hint="eastAsia"/>
              </w:rPr>
              <w:t>227</w:t>
            </w:r>
          </w:p>
        </w:tc>
        <w:tc>
          <w:tcPr>
            <w:tcW w:w="715" w:type="pct"/>
            <w:tcBorders>
              <w:top w:val="nil"/>
              <w:left w:val="nil"/>
              <w:bottom w:val="single" w:color="auto" w:sz="4" w:space="0"/>
              <w:right w:val="single" w:color="auto" w:sz="4" w:space="0"/>
            </w:tcBorders>
            <w:shd w:val="clear" w:color="auto" w:fill="auto"/>
            <w:noWrap/>
            <w:vAlign w:val="bottom"/>
          </w:tcPr>
          <w:p w14:paraId="61020401">
            <w:pPr>
              <w:pStyle w:val="40"/>
            </w:pPr>
            <w:r>
              <w:rPr>
                <w:rFonts w:hint="eastAsia"/>
              </w:rPr>
              <w:t>59</w:t>
            </w:r>
          </w:p>
        </w:tc>
        <w:tc>
          <w:tcPr>
            <w:tcW w:w="714" w:type="pct"/>
            <w:tcBorders>
              <w:top w:val="nil"/>
              <w:left w:val="nil"/>
              <w:bottom w:val="single" w:color="auto" w:sz="4" w:space="0"/>
              <w:right w:val="single" w:color="auto" w:sz="4" w:space="0"/>
            </w:tcBorders>
            <w:shd w:val="clear" w:color="auto" w:fill="auto"/>
            <w:noWrap/>
            <w:vAlign w:val="bottom"/>
          </w:tcPr>
          <w:p w14:paraId="44E5873B">
            <w:pPr>
              <w:pStyle w:val="40"/>
            </w:pPr>
            <w:r>
              <w:rPr>
                <w:rFonts w:hint="eastAsia"/>
              </w:rPr>
              <w:t>168</w:t>
            </w:r>
          </w:p>
        </w:tc>
        <w:tc>
          <w:tcPr>
            <w:tcW w:w="715" w:type="pct"/>
            <w:tcBorders>
              <w:top w:val="nil"/>
              <w:left w:val="nil"/>
              <w:bottom w:val="single" w:color="auto" w:sz="4" w:space="0"/>
              <w:right w:val="single" w:color="auto" w:sz="4" w:space="0"/>
            </w:tcBorders>
            <w:shd w:val="clear" w:color="auto" w:fill="auto"/>
            <w:noWrap/>
            <w:vAlign w:val="bottom"/>
          </w:tcPr>
          <w:p w14:paraId="39113DB1">
            <w:pPr>
              <w:pStyle w:val="40"/>
            </w:pPr>
            <w:r>
              <w:rPr>
                <w:rFonts w:hint="eastAsia"/>
              </w:rPr>
              <w:t>13128</w:t>
            </w:r>
          </w:p>
        </w:tc>
        <w:tc>
          <w:tcPr>
            <w:tcW w:w="714" w:type="pct"/>
            <w:tcBorders>
              <w:top w:val="nil"/>
              <w:left w:val="nil"/>
              <w:bottom w:val="single" w:color="auto" w:sz="4" w:space="0"/>
              <w:right w:val="single" w:color="auto" w:sz="4" w:space="0"/>
            </w:tcBorders>
            <w:shd w:val="clear" w:color="auto" w:fill="auto"/>
            <w:noWrap/>
            <w:vAlign w:val="bottom"/>
          </w:tcPr>
          <w:p w14:paraId="5AD19286">
            <w:pPr>
              <w:pStyle w:val="40"/>
            </w:pPr>
            <w:r>
              <w:rPr>
                <w:rFonts w:hint="eastAsia"/>
              </w:rPr>
              <w:t>13678</w:t>
            </w:r>
          </w:p>
        </w:tc>
        <w:tc>
          <w:tcPr>
            <w:tcW w:w="714" w:type="pct"/>
            <w:tcBorders>
              <w:top w:val="nil"/>
              <w:left w:val="nil"/>
              <w:bottom w:val="single" w:color="auto" w:sz="4" w:space="0"/>
              <w:right w:val="single" w:color="auto" w:sz="8" w:space="0"/>
            </w:tcBorders>
            <w:shd w:val="clear" w:color="auto" w:fill="auto"/>
            <w:noWrap/>
            <w:vAlign w:val="bottom"/>
          </w:tcPr>
          <w:p w14:paraId="5FEA6572">
            <w:pPr>
              <w:pStyle w:val="40"/>
            </w:pPr>
            <w:r>
              <w:rPr>
                <w:rFonts w:hint="eastAsia"/>
              </w:rPr>
              <w:t>4096</w:t>
            </w:r>
          </w:p>
        </w:tc>
      </w:tr>
      <w:tr w14:paraId="113AE2EA">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6606D18B">
            <w:pPr>
              <w:pStyle w:val="40"/>
            </w:pPr>
            <w:r>
              <w:rPr>
                <w:rFonts w:hint="eastAsia"/>
              </w:rPr>
              <w:t>2017</w:t>
            </w:r>
          </w:p>
        </w:tc>
        <w:tc>
          <w:tcPr>
            <w:tcW w:w="714" w:type="pct"/>
            <w:tcBorders>
              <w:top w:val="nil"/>
              <w:left w:val="nil"/>
              <w:bottom w:val="single" w:color="auto" w:sz="4" w:space="0"/>
              <w:right w:val="single" w:color="auto" w:sz="4" w:space="0"/>
            </w:tcBorders>
            <w:shd w:val="clear" w:color="auto" w:fill="auto"/>
            <w:noWrap/>
            <w:vAlign w:val="bottom"/>
          </w:tcPr>
          <w:p w14:paraId="221FC2E4">
            <w:pPr>
              <w:pStyle w:val="40"/>
            </w:pPr>
            <w:r>
              <w:rPr>
                <w:rFonts w:hint="eastAsia"/>
              </w:rPr>
              <w:t>237</w:t>
            </w:r>
          </w:p>
        </w:tc>
        <w:tc>
          <w:tcPr>
            <w:tcW w:w="715" w:type="pct"/>
            <w:tcBorders>
              <w:top w:val="nil"/>
              <w:left w:val="nil"/>
              <w:bottom w:val="single" w:color="auto" w:sz="4" w:space="0"/>
              <w:right w:val="single" w:color="auto" w:sz="4" w:space="0"/>
            </w:tcBorders>
            <w:shd w:val="clear" w:color="auto" w:fill="auto"/>
            <w:noWrap/>
            <w:vAlign w:val="bottom"/>
          </w:tcPr>
          <w:p w14:paraId="188B202E">
            <w:pPr>
              <w:pStyle w:val="40"/>
            </w:pPr>
            <w:r>
              <w:rPr>
                <w:rFonts w:hint="eastAsia"/>
              </w:rPr>
              <w:t>62</w:t>
            </w:r>
          </w:p>
        </w:tc>
        <w:tc>
          <w:tcPr>
            <w:tcW w:w="714" w:type="pct"/>
            <w:tcBorders>
              <w:top w:val="nil"/>
              <w:left w:val="nil"/>
              <w:bottom w:val="single" w:color="auto" w:sz="4" w:space="0"/>
              <w:right w:val="single" w:color="auto" w:sz="4" w:space="0"/>
            </w:tcBorders>
            <w:shd w:val="clear" w:color="auto" w:fill="auto"/>
            <w:noWrap/>
            <w:vAlign w:val="bottom"/>
          </w:tcPr>
          <w:p w14:paraId="196B1266">
            <w:pPr>
              <w:pStyle w:val="40"/>
            </w:pPr>
            <w:r>
              <w:rPr>
                <w:rFonts w:hint="eastAsia"/>
              </w:rPr>
              <w:t>175</w:t>
            </w:r>
          </w:p>
        </w:tc>
        <w:tc>
          <w:tcPr>
            <w:tcW w:w="715" w:type="pct"/>
            <w:tcBorders>
              <w:top w:val="nil"/>
              <w:left w:val="nil"/>
              <w:bottom w:val="single" w:color="auto" w:sz="4" w:space="0"/>
              <w:right w:val="single" w:color="auto" w:sz="4" w:space="0"/>
            </w:tcBorders>
            <w:shd w:val="clear" w:color="auto" w:fill="auto"/>
            <w:noWrap/>
            <w:vAlign w:val="bottom"/>
          </w:tcPr>
          <w:p w14:paraId="569908E1">
            <w:pPr>
              <w:pStyle w:val="40"/>
            </w:pPr>
            <w:r>
              <w:rPr>
                <w:rFonts w:hint="eastAsia"/>
              </w:rPr>
              <w:t>14937</w:t>
            </w:r>
          </w:p>
        </w:tc>
        <w:tc>
          <w:tcPr>
            <w:tcW w:w="714" w:type="pct"/>
            <w:tcBorders>
              <w:top w:val="nil"/>
              <w:left w:val="nil"/>
              <w:bottom w:val="single" w:color="auto" w:sz="4" w:space="0"/>
              <w:right w:val="single" w:color="auto" w:sz="4" w:space="0"/>
            </w:tcBorders>
            <w:shd w:val="clear" w:color="auto" w:fill="auto"/>
            <w:noWrap/>
            <w:vAlign w:val="bottom"/>
          </w:tcPr>
          <w:p w14:paraId="4DCDAE7A">
            <w:pPr>
              <w:pStyle w:val="40"/>
            </w:pPr>
            <w:r>
              <w:rPr>
                <w:rFonts w:hint="eastAsia"/>
              </w:rPr>
              <w:t>4411</w:t>
            </w:r>
          </w:p>
        </w:tc>
        <w:tc>
          <w:tcPr>
            <w:tcW w:w="714" w:type="pct"/>
            <w:tcBorders>
              <w:top w:val="nil"/>
              <w:left w:val="nil"/>
              <w:bottom w:val="single" w:color="auto" w:sz="4" w:space="0"/>
              <w:right w:val="single" w:color="auto" w:sz="8" w:space="0"/>
            </w:tcBorders>
            <w:shd w:val="clear" w:color="auto" w:fill="auto"/>
            <w:noWrap/>
            <w:vAlign w:val="bottom"/>
          </w:tcPr>
          <w:p w14:paraId="498DE0FE">
            <w:pPr>
              <w:pStyle w:val="40"/>
            </w:pPr>
            <w:r>
              <w:rPr>
                <w:rFonts w:hint="eastAsia"/>
              </w:rPr>
              <w:t>10526</w:t>
            </w:r>
          </w:p>
        </w:tc>
      </w:tr>
      <w:tr w14:paraId="6329EF3A">
        <w:tblPrEx>
          <w:tblCellMar>
            <w:top w:w="0" w:type="dxa"/>
            <w:left w:w="108" w:type="dxa"/>
            <w:bottom w:w="0" w:type="dxa"/>
            <w:right w:w="108" w:type="dxa"/>
          </w:tblCellMar>
        </w:tblPrEx>
        <w:trPr>
          <w:trHeight w:val="278" w:hRule="atLeast"/>
        </w:trPr>
        <w:tc>
          <w:tcPr>
            <w:tcW w:w="714" w:type="pct"/>
            <w:tcBorders>
              <w:top w:val="nil"/>
              <w:left w:val="single" w:color="auto" w:sz="8" w:space="0"/>
              <w:bottom w:val="single" w:color="auto" w:sz="4" w:space="0"/>
              <w:right w:val="single" w:color="auto" w:sz="4" w:space="0"/>
            </w:tcBorders>
            <w:shd w:val="clear" w:color="auto" w:fill="auto"/>
            <w:noWrap/>
            <w:vAlign w:val="center"/>
          </w:tcPr>
          <w:p w14:paraId="3E41D934">
            <w:pPr>
              <w:pStyle w:val="40"/>
            </w:pPr>
            <w:r>
              <w:rPr>
                <w:rFonts w:hint="eastAsia"/>
              </w:rPr>
              <w:t>2018</w:t>
            </w:r>
          </w:p>
        </w:tc>
        <w:tc>
          <w:tcPr>
            <w:tcW w:w="714" w:type="pct"/>
            <w:tcBorders>
              <w:top w:val="nil"/>
              <w:left w:val="nil"/>
              <w:bottom w:val="single" w:color="auto" w:sz="4" w:space="0"/>
              <w:right w:val="single" w:color="auto" w:sz="4" w:space="0"/>
            </w:tcBorders>
            <w:shd w:val="clear" w:color="auto" w:fill="auto"/>
            <w:noWrap/>
            <w:vAlign w:val="bottom"/>
          </w:tcPr>
          <w:p w14:paraId="38B4642A">
            <w:pPr>
              <w:pStyle w:val="40"/>
            </w:pPr>
            <w:r>
              <w:rPr>
                <w:rFonts w:hint="eastAsia"/>
              </w:rPr>
              <w:t>247</w:t>
            </w:r>
          </w:p>
        </w:tc>
        <w:tc>
          <w:tcPr>
            <w:tcW w:w="715" w:type="pct"/>
            <w:tcBorders>
              <w:top w:val="nil"/>
              <w:left w:val="nil"/>
              <w:bottom w:val="single" w:color="auto" w:sz="4" w:space="0"/>
              <w:right w:val="single" w:color="auto" w:sz="4" w:space="0"/>
            </w:tcBorders>
            <w:shd w:val="clear" w:color="auto" w:fill="auto"/>
            <w:noWrap/>
            <w:vAlign w:val="bottom"/>
          </w:tcPr>
          <w:p w14:paraId="656A3BDD">
            <w:pPr>
              <w:pStyle w:val="40"/>
            </w:pPr>
            <w:r>
              <w:rPr>
                <w:rFonts w:hint="eastAsia"/>
              </w:rPr>
              <w:t>65</w:t>
            </w:r>
          </w:p>
        </w:tc>
        <w:tc>
          <w:tcPr>
            <w:tcW w:w="714" w:type="pct"/>
            <w:tcBorders>
              <w:top w:val="nil"/>
              <w:left w:val="nil"/>
              <w:bottom w:val="single" w:color="auto" w:sz="4" w:space="0"/>
              <w:right w:val="single" w:color="auto" w:sz="4" w:space="0"/>
            </w:tcBorders>
            <w:shd w:val="clear" w:color="auto" w:fill="auto"/>
            <w:noWrap/>
            <w:vAlign w:val="bottom"/>
          </w:tcPr>
          <w:p w14:paraId="2C7757AD">
            <w:pPr>
              <w:pStyle w:val="40"/>
            </w:pPr>
            <w:r>
              <w:rPr>
                <w:rFonts w:hint="eastAsia"/>
              </w:rPr>
              <w:t>182</w:t>
            </w:r>
          </w:p>
        </w:tc>
        <w:tc>
          <w:tcPr>
            <w:tcW w:w="715" w:type="pct"/>
            <w:tcBorders>
              <w:top w:val="nil"/>
              <w:left w:val="nil"/>
              <w:bottom w:val="single" w:color="auto" w:sz="4" w:space="0"/>
              <w:right w:val="single" w:color="auto" w:sz="4" w:space="0"/>
            </w:tcBorders>
            <w:shd w:val="clear" w:color="auto" w:fill="auto"/>
            <w:noWrap/>
            <w:vAlign w:val="bottom"/>
          </w:tcPr>
          <w:p w14:paraId="7D3F5596">
            <w:pPr>
              <w:pStyle w:val="40"/>
            </w:pPr>
            <w:r>
              <w:rPr>
                <w:rFonts w:hint="eastAsia"/>
              </w:rPr>
              <w:t>16122</w:t>
            </w:r>
          </w:p>
        </w:tc>
        <w:tc>
          <w:tcPr>
            <w:tcW w:w="714" w:type="pct"/>
            <w:tcBorders>
              <w:top w:val="nil"/>
              <w:left w:val="nil"/>
              <w:bottom w:val="single" w:color="auto" w:sz="4" w:space="0"/>
              <w:right w:val="single" w:color="auto" w:sz="4" w:space="0"/>
            </w:tcBorders>
            <w:shd w:val="clear" w:color="auto" w:fill="auto"/>
            <w:noWrap/>
            <w:vAlign w:val="bottom"/>
          </w:tcPr>
          <w:p w14:paraId="21D7E2D6">
            <w:pPr>
              <w:pStyle w:val="40"/>
            </w:pPr>
            <w:r>
              <w:rPr>
                <w:rFonts w:hint="eastAsia"/>
              </w:rPr>
              <w:t>4719</w:t>
            </w:r>
          </w:p>
        </w:tc>
        <w:tc>
          <w:tcPr>
            <w:tcW w:w="714" w:type="pct"/>
            <w:tcBorders>
              <w:top w:val="nil"/>
              <w:left w:val="nil"/>
              <w:bottom w:val="single" w:color="auto" w:sz="4" w:space="0"/>
              <w:right w:val="single" w:color="auto" w:sz="8" w:space="0"/>
            </w:tcBorders>
            <w:shd w:val="clear" w:color="auto" w:fill="auto"/>
            <w:noWrap/>
            <w:vAlign w:val="bottom"/>
          </w:tcPr>
          <w:p w14:paraId="1CFD6D57">
            <w:pPr>
              <w:pStyle w:val="40"/>
            </w:pPr>
            <w:r>
              <w:rPr>
                <w:rFonts w:hint="eastAsia"/>
              </w:rPr>
              <w:t>11403</w:t>
            </w:r>
          </w:p>
        </w:tc>
      </w:tr>
      <w:tr w14:paraId="35EFD3C8">
        <w:tblPrEx>
          <w:tblCellMar>
            <w:top w:w="0" w:type="dxa"/>
            <w:left w:w="108" w:type="dxa"/>
            <w:bottom w:w="0" w:type="dxa"/>
            <w:right w:w="108" w:type="dxa"/>
          </w:tblCellMar>
        </w:tblPrEx>
        <w:trPr>
          <w:trHeight w:val="285" w:hRule="atLeast"/>
        </w:trPr>
        <w:tc>
          <w:tcPr>
            <w:tcW w:w="714" w:type="pct"/>
            <w:tcBorders>
              <w:top w:val="single" w:color="auto" w:sz="4" w:space="0"/>
              <w:left w:val="single" w:color="auto" w:sz="8" w:space="0"/>
              <w:bottom w:val="single" w:color="auto" w:sz="4" w:space="0"/>
              <w:right w:val="single" w:color="auto" w:sz="4" w:space="0"/>
            </w:tcBorders>
            <w:shd w:val="clear" w:color="auto" w:fill="auto"/>
            <w:noWrap/>
            <w:vAlign w:val="center"/>
          </w:tcPr>
          <w:p w14:paraId="4F349CAE">
            <w:pPr>
              <w:pStyle w:val="40"/>
            </w:pPr>
            <w:r>
              <w:rPr>
                <w:rFonts w:hint="eastAsia"/>
              </w:rPr>
              <w:t>2019</w:t>
            </w:r>
          </w:p>
        </w:tc>
        <w:tc>
          <w:tcPr>
            <w:tcW w:w="714" w:type="pct"/>
            <w:tcBorders>
              <w:top w:val="single" w:color="auto" w:sz="4" w:space="0"/>
              <w:left w:val="nil"/>
              <w:bottom w:val="single" w:color="auto" w:sz="4" w:space="0"/>
              <w:right w:val="single" w:color="auto" w:sz="4" w:space="0"/>
            </w:tcBorders>
            <w:shd w:val="clear" w:color="auto" w:fill="auto"/>
            <w:noWrap/>
            <w:vAlign w:val="bottom"/>
          </w:tcPr>
          <w:p w14:paraId="58ADF010">
            <w:pPr>
              <w:pStyle w:val="40"/>
            </w:pPr>
            <w:r>
              <w:rPr>
                <w:rFonts w:hint="eastAsia"/>
              </w:rPr>
              <w:t>247</w:t>
            </w:r>
          </w:p>
        </w:tc>
        <w:tc>
          <w:tcPr>
            <w:tcW w:w="715" w:type="pct"/>
            <w:tcBorders>
              <w:top w:val="single" w:color="auto" w:sz="4" w:space="0"/>
              <w:left w:val="nil"/>
              <w:bottom w:val="single" w:color="auto" w:sz="4" w:space="0"/>
              <w:right w:val="single" w:color="auto" w:sz="4" w:space="0"/>
            </w:tcBorders>
            <w:shd w:val="clear" w:color="auto" w:fill="auto"/>
            <w:noWrap/>
            <w:vAlign w:val="bottom"/>
          </w:tcPr>
          <w:p w14:paraId="3ACA2AE0">
            <w:pPr>
              <w:pStyle w:val="40"/>
            </w:pPr>
            <w:r>
              <w:rPr>
                <w:rFonts w:hint="eastAsia"/>
              </w:rPr>
              <w:t>65</w:t>
            </w:r>
          </w:p>
        </w:tc>
        <w:tc>
          <w:tcPr>
            <w:tcW w:w="714" w:type="pct"/>
            <w:tcBorders>
              <w:top w:val="single" w:color="auto" w:sz="4" w:space="0"/>
              <w:left w:val="nil"/>
              <w:bottom w:val="single" w:color="auto" w:sz="4" w:space="0"/>
              <w:right w:val="single" w:color="auto" w:sz="4" w:space="0"/>
            </w:tcBorders>
            <w:shd w:val="clear" w:color="auto" w:fill="auto"/>
            <w:noWrap/>
            <w:vAlign w:val="bottom"/>
          </w:tcPr>
          <w:p w14:paraId="59E78802">
            <w:pPr>
              <w:pStyle w:val="40"/>
            </w:pPr>
            <w:r>
              <w:rPr>
                <w:rFonts w:hint="eastAsia"/>
              </w:rPr>
              <w:t>182</w:t>
            </w:r>
          </w:p>
        </w:tc>
        <w:tc>
          <w:tcPr>
            <w:tcW w:w="715" w:type="pct"/>
            <w:tcBorders>
              <w:top w:val="single" w:color="auto" w:sz="4" w:space="0"/>
              <w:left w:val="nil"/>
              <w:bottom w:val="single" w:color="auto" w:sz="4" w:space="0"/>
              <w:right w:val="single" w:color="auto" w:sz="4" w:space="0"/>
            </w:tcBorders>
            <w:shd w:val="clear" w:color="auto" w:fill="auto"/>
            <w:noWrap/>
            <w:vAlign w:val="bottom"/>
          </w:tcPr>
          <w:p w14:paraId="45A9094B">
            <w:pPr>
              <w:pStyle w:val="40"/>
            </w:pPr>
            <w:r>
              <w:rPr>
                <w:rFonts w:hint="eastAsia"/>
              </w:rPr>
              <w:t>16433</w:t>
            </w:r>
          </w:p>
        </w:tc>
        <w:tc>
          <w:tcPr>
            <w:tcW w:w="714" w:type="pct"/>
            <w:tcBorders>
              <w:top w:val="single" w:color="auto" w:sz="4" w:space="0"/>
              <w:left w:val="nil"/>
              <w:bottom w:val="single" w:color="auto" w:sz="4" w:space="0"/>
              <w:right w:val="single" w:color="auto" w:sz="4" w:space="0"/>
            </w:tcBorders>
            <w:shd w:val="clear" w:color="auto" w:fill="auto"/>
            <w:noWrap/>
            <w:vAlign w:val="bottom"/>
          </w:tcPr>
          <w:p w14:paraId="2564553F">
            <w:pPr>
              <w:pStyle w:val="40"/>
            </w:pPr>
            <w:r>
              <w:rPr>
                <w:rFonts w:hint="eastAsia"/>
              </w:rPr>
              <w:t>4719</w:t>
            </w:r>
          </w:p>
        </w:tc>
        <w:tc>
          <w:tcPr>
            <w:tcW w:w="714" w:type="pct"/>
            <w:tcBorders>
              <w:top w:val="single" w:color="auto" w:sz="4" w:space="0"/>
              <w:left w:val="nil"/>
              <w:bottom w:val="single" w:color="auto" w:sz="4" w:space="0"/>
              <w:right w:val="single" w:color="auto" w:sz="8" w:space="0"/>
            </w:tcBorders>
            <w:shd w:val="clear" w:color="auto" w:fill="auto"/>
            <w:noWrap/>
            <w:vAlign w:val="bottom"/>
          </w:tcPr>
          <w:p w14:paraId="38864413">
            <w:pPr>
              <w:pStyle w:val="40"/>
            </w:pPr>
            <w:r>
              <w:rPr>
                <w:rFonts w:hint="eastAsia"/>
              </w:rPr>
              <w:t>11714</w:t>
            </w:r>
          </w:p>
        </w:tc>
      </w:tr>
    </w:tbl>
    <w:p w14:paraId="025D2AD8">
      <w:pPr>
        <w:ind w:firstLine="0" w:firstLineChars="0"/>
      </w:pPr>
      <w:r>
        <w:drawing>
          <wp:anchor distT="0" distB="0" distL="114300" distR="114300" simplePos="0" relativeHeight="251662336" behindDoc="0" locked="0" layoutInCell="1" allowOverlap="1">
            <wp:simplePos x="0" y="0"/>
            <wp:positionH relativeFrom="column">
              <wp:posOffset>-393700</wp:posOffset>
            </wp:positionH>
            <wp:positionV relativeFrom="paragraph">
              <wp:posOffset>454025</wp:posOffset>
            </wp:positionV>
            <wp:extent cx="6242050" cy="2432050"/>
            <wp:effectExtent l="0" t="0" r="0" b="0"/>
            <wp:wrapTopAndBottom/>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p w14:paraId="2F27D66C">
      <w:r>
        <w:rPr>
          <w:rFonts w:hint="eastAsia"/>
        </w:rPr>
        <w:t>图</w:t>
      </w:r>
      <w:r>
        <w:drawing>
          <wp:anchor distT="0" distB="0" distL="114300" distR="114300" simplePos="0" relativeHeight="251661312" behindDoc="0" locked="0" layoutInCell="1" allowOverlap="1">
            <wp:simplePos x="0" y="0"/>
            <wp:positionH relativeFrom="column">
              <wp:posOffset>-393700</wp:posOffset>
            </wp:positionH>
            <wp:positionV relativeFrom="paragraph">
              <wp:posOffset>3237865</wp:posOffset>
            </wp:positionV>
            <wp:extent cx="6175375" cy="2621280"/>
            <wp:effectExtent l="0" t="0" r="0" b="0"/>
            <wp:wrapTopAndBottom/>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r>
        <w:t>8-3 2002-2019年沈阳市城市蒸汽集中供热（万吉焦）</w:t>
      </w:r>
    </w:p>
    <w:p w14:paraId="1BFFA439">
      <w:r>
        <w:rPr>
          <w:rFonts w:hint="eastAsia"/>
        </w:rPr>
        <w:t>图</w:t>
      </w:r>
      <w:r>
        <w:t>8-4 2002-2019年沈阳市城市热水集中供热（万吉焦）</w:t>
      </w:r>
    </w:p>
    <w:p w14:paraId="300AE2D6">
      <w:pPr>
        <w:pStyle w:val="42"/>
        <w:ind w:left="1200" w:firstLine="0" w:firstLineChars="0"/>
      </w:pPr>
    </w:p>
    <w:p w14:paraId="2FEDA25A">
      <w:pPr>
        <w:pStyle w:val="61"/>
        <w:ind w:firstLine="0"/>
      </w:pPr>
      <w:r>
        <w:t xml:space="preserve">2.2 </w:t>
      </w:r>
      <w:r>
        <w:rPr>
          <w:rFonts w:hint="eastAsia"/>
        </w:rPr>
        <w:t>电力能源消耗</w:t>
      </w:r>
    </w:p>
    <w:p w14:paraId="687314FC">
      <w:r>
        <w:rPr>
          <w:rFonts w:hint="eastAsia"/>
        </w:rPr>
        <w:t>根据沈阳市城乡建设局提供的2010至2019年的沈阳地区全社会用电分类表数据，分别整理出第三产业、城镇居民与乡村居民用电数据，将以上三个类别的电力数据分别对应公共建筑、城镇居住建筑与农村居住建筑使用的电力能源消耗。（注：此处忽略工业部门与交通部门隐含的用电能耗，以及第三产业城乡居民生活中包含的交通工具用电能耗。）</w:t>
      </w:r>
    </w:p>
    <w:p w14:paraId="513E23F5">
      <w:r>
        <w:rPr>
          <w:rFonts w:hint="eastAsia"/>
        </w:rPr>
        <w:t>表</w:t>
      </w:r>
      <w:r>
        <w:t>8-3</w:t>
      </w:r>
      <w:r>
        <w:rPr>
          <w:rFonts w:hint="eastAsia"/>
        </w:rPr>
        <w:t xml:space="preserve"> 沈阳市2</w:t>
      </w:r>
      <w:r>
        <w:t>010</w:t>
      </w:r>
      <w:r>
        <w:rPr>
          <w:rFonts w:hint="eastAsia"/>
        </w:rPr>
        <w:t>-</w:t>
      </w:r>
      <w:r>
        <w:t>2019</w:t>
      </w:r>
      <w:r>
        <w:rPr>
          <w:rFonts w:hint="eastAsia"/>
        </w:rPr>
        <w:t>年第三产业及城乡居民用电情况</w:t>
      </w:r>
    </w:p>
    <w:tbl>
      <w:tblPr>
        <w:tblStyle w:val="20"/>
        <w:tblW w:w="5000" w:type="pct"/>
        <w:tblInd w:w="0" w:type="dxa"/>
        <w:tblLayout w:type="autofit"/>
        <w:tblCellMar>
          <w:top w:w="0" w:type="dxa"/>
          <w:left w:w="108" w:type="dxa"/>
          <w:bottom w:w="0" w:type="dxa"/>
          <w:right w:w="108" w:type="dxa"/>
        </w:tblCellMar>
      </w:tblPr>
      <w:tblGrid>
        <w:gridCol w:w="1565"/>
        <w:gridCol w:w="1921"/>
        <w:gridCol w:w="1919"/>
        <w:gridCol w:w="1919"/>
        <w:gridCol w:w="1198"/>
      </w:tblGrid>
      <w:tr w14:paraId="25B177FE">
        <w:tblPrEx>
          <w:tblCellMar>
            <w:top w:w="0" w:type="dxa"/>
            <w:left w:w="108" w:type="dxa"/>
            <w:bottom w:w="0" w:type="dxa"/>
            <w:right w:w="108" w:type="dxa"/>
          </w:tblCellMar>
        </w:tblPrEx>
        <w:trPr>
          <w:trHeight w:val="472" w:hRule="atLeast"/>
        </w:trPr>
        <w:tc>
          <w:tcPr>
            <w:tcW w:w="918" w:type="pct"/>
            <w:vMerge w:val="restart"/>
            <w:tcBorders>
              <w:top w:val="single" w:color="auto" w:sz="8" w:space="0"/>
              <w:left w:val="single" w:color="auto" w:sz="8" w:space="0"/>
              <w:bottom w:val="single" w:color="auto" w:sz="4" w:space="0"/>
              <w:right w:val="single" w:color="auto" w:sz="4" w:space="0"/>
            </w:tcBorders>
            <w:shd w:val="clear" w:color="auto" w:fill="auto"/>
            <w:noWrap/>
            <w:vAlign w:val="center"/>
          </w:tcPr>
          <w:p w14:paraId="369C8F7A">
            <w:pPr>
              <w:pStyle w:val="40"/>
            </w:pPr>
            <w:r>
              <w:rPr>
                <w:rFonts w:hint="eastAsia"/>
              </w:rPr>
              <w:t>年份</w:t>
            </w:r>
          </w:p>
        </w:tc>
        <w:tc>
          <w:tcPr>
            <w:tcW w:w="4082" w:type="pct"/>
            <w:gridSpan w:val="4"/>
            <w:vMerge w:val="restart"/>
            <w:tcBorders>
              <w:top w:val="single" w:color="auto" w:sz="8" w:space="0"/>
              <w:left w:val="single" w:color="auto" w:sz="8" w:space="0"/>
              <w:bottom w:val="single" w:color="000000" w:sz="4" w:space="0"/>
              <w:right w:val="single" w:color="000000" w:sz="8" w:space="0"/>
            </w:tcBorders>
            <w:shd w:val="clear" w:color="auto" w:fill="auto"/>
            <w:noWrap/>
            <w:vAlign w:val="center"/>
          </w:tcPr>
          <w:p w14:paraId="3FF8BC3D">
            <w:pPr>
              <w:pStyle w:val="40"/>
            </w:pPr>
            <w:r>
              <w:rPr>
                <w:rFonts w:hint="eastAsia"/>
              </w:rPr>
              <w:t>用电量（万千瓦时）</w:t>
            </w:r>
          </w:p>
        </w:tc>
      </w:tr>
      <w:tr w14:paraId="20BC11B9">
        <w:tblPrEx>
          <w:tblCellMar>
            <w:top w:w="0" w:type="dxa"/>
            <w:left w:w="108" w:type="dxa"/>
            <w:bottom w:w="0" w:type="dxa"/>
            <w:right w:w="108" w:type="dxa"/>
          </w:tblCellMar>
        </w:tblPrEx>
        <w:trPr>
          <w:trHeight w:val="354" w:hRule="atLeast"/>
        </w:trPr>
        <w:tc>
          <w:tcPr>
            <w:tcW w:w="918" w:type="pct"/>
            <w:vMerge w:val="continue"/>
            <w:tcBorders>
              <w:top w:val="single" w:color="auto" w:sz="8" w:space="0"/>
              <w:left w:val="single" w:color="auto" w:sz="8" w:space="0"/>
              <w:bottom w:val="single" w:color="auto" w:sz="4" w:space="0"/>
              <w:right w:val="single" w:color="auto" w:sz="4" w:space="0"/>
            </w:tcBorders>
            <w:vAlign w:val="center"/>
          </w:tcPr>
          <w:p w14:paraId="5C4F6918">
            <w:pPr>
              <w:pStyle w:val="40"/>
            </w:pPr>
          </w:p>
        </w:tc>
        <w:tc>
          <w:tcPr>
            <w:tcW w:w="4082" w:type="pct"/>
            <w:gridSpan w:val="4"/>
            <w:vMerge w:val="continue"/>
            <w:tcBorders>
              <w:top w:val="single" w:color="auto" w:sz="8" w:space="0"/>
              <w:left w:val="single" w:color="auto" w:sz="8" w:space="0"/>
              <w:bottom w:val="single" w:color="000000" w:sz="4" w:space="0"/>
              <w:right w:val="single" w:color="000000" w:sz="8" w:space="0"/>
            </w:tcBorders>
            <w:vAlign w:val="center"/>
          </w:tcPr>
          <w:p w14:paraId="681D38C0">
            <w:pPr>
              <w:pStyle w:val="40"/>
            </w:pPr>
          </w:p>
        </w:tc>
      </w:tr>
      <w:tr w14:paraId="6A340FD1">
        <w:tblPrEx>
          <w:tblCellMar>
            <w:top w:w="0" w:type="dxa"/>
            <w:left w:w="108" w:type="dxa"/>
            <w:bottom w:w="0" w:type="dxa"/>
            <w:right w:w="108" w:type="dxa"/>
          </w:tblCellMar>
        </w:tblPrEx>
        <w:trPr>
          <w:trHeight w:val="278" w:hRule="atLeast"/>
        </w:trPr>
        <w:tc>
          <w:tcPr>
            <w:tcW w:w="918" w:type="pct"/>
            <w:vMerge w:val="continue"/>
            <w:tcBorders>
              <w:top w:val="single" w:color="auto" w:sz="8" w:space="0"/>
              <w:left w:val="single" w:color="auto" w:sz="8" w:space="0"/>
              <w:bottom w:val="single" w:color="auto" w:sz="4" w:space="0"/>
              <w:right w:val="single" w:color="auto" w:sz="4" w:space="0"/>
            </w:tcBorders>
            <w:vAlign w:val="center"/>
          </w:tcPr>
          <w:p w14:paraId="7D578E00">
            <w:pPr>
              <w:pStyle w:val="40"/>
            </w:pPr>
          </w:p>
        </w:tc>
        <w:tc>
          <w:tcPr>
            <w:tcW w:w="1127" w:type="pct"/>
            <w:tcBorders>
              <w:top w:val="nil"/>
              <w:left w:val="single" w:color="auto" w:sz="8" w:space="0"/>
              <w:bottom w:val="single" w:color="auto" w:sz="4" w:space="0"/>
              <w:right w:val="single" w:color="auto" w:sz="4" w:space="0"/>
            </w:tcBorders>
            <w:shd w:val="clear" w:color="auto" w:fill="auto"/>
            <w:noWrap/>
            <w:vAlign w:val="center"/>
          </w:tcPr>
          <w:p w14:paraId="3A61769D">
            <w:pPr>
              <w:pStyle w:val="40"/>
            </w:pPr>
            <w:r>
              <w:rPr>
                <w:rFonts w:hint="eastAsia"/>
              </w:rPr>
              <w:t>第三产业</w:t>
            </w:r>
          </w:p>
        </w:tc>
        <w:tc>
          <w:tcPr>
            <w:tcW w:w="1126" w:type="pct"/>
            <w:tcBorders>
              <w:top w:val="nil"/>
              <w:left w:val="nil"/>
              <w:bottom w:val="single" w:color="auto" w:sz="4" w:space="0"/>
              <w:right w:val="single" w:color="auto" w:sz="4" w:space="0"/>
            </w:tcBorders>
            <w:shd w:val="clear" w:color="auto" w:fill="auto"/>
            <w:noWrap/>
            <w:vAlign w:val="center"/>
          </w:tcPr>
          <w:p w14:paraId="0615D3B9">
            <w:pPr>
              <w:pStyle w:val="40"/>
            </w:pPr>
            <w:r>
              <w:rPr>
                <w:rFonts w:hint="eastAsia"/>
              </w:rPr>
              <w:t>城镇居民</w:t>
            </w:r>
          </w:p>
        </w:tc>
        <w:tc>
          <w:tcPr>
            <w:tcW w:w="1126" w:type="pct"/>
            <w:tcBorders>
              <w:top w:val="nil"/>
              <w:left w:val="nil"/>
              <w:bottom w:val="single" w:color="auto" w:sz="4" w:space="0"/>
              <w:right w:val="single" w:color="auto" w:sz="4" w:space="0"/>
            </w:tcBorders>
            <w:shd w:val="clear" w:color="auto" w:fill="auto"/>
            <w:noWrap/>
            <w:vAlign w:val="center"/>
          </w:tcPr>
          <w:p w14:paraId="404B6F46">
            <w:pPr>
              <w:pStyle w:val="40"/>
            </w:pPr>
            <w:r>
              <w:rPr>
                <w:rFonts w:hint="eastAsia"/>
              </w:rPr>
              <w:t>乡村居民</w:t>
            </w:r>
          </w:p>
        </w:tc>
        <w:tc>
          <w:tcPr>
            <w:tcW w:w="703" w:type="pct"/>
            <w:tcBorders>
              <w:top w:val="nil"/>
              <w:left w:val="nil"/>
              <w:bottom w:val="single" w:color="auto" w:sz="4" w:space="0"/>
              <w:right w:val="single" w:color="auto" w:sz="8" w:space="0"/>
            </w:tcBorders>
            <w:shd w:val="clear" w:color="auto" w:fill="auto"/>
            <w:noWrap/>
            <w:vAlign w:val="center"/>
          </w:tcPr>
          <w:p w14:paraId="46B6955C">
            <w:pPr>
              <w:pStyle w:val="40"/>
            </w:pPr>
            <w:r>
              <w:rPr>
                <w:rFonts w:hint="eastAsia"/>
              </w:rPr>
              <w:t>合计</w:t>
            </w:r>
          </w:p>
        </w:tc>
      </w:tr>
      <w:tr w14:paraId="38A81113">
        <w:tblPrEx>
          <w:tblCellMar>
            <w:top w:w="0" w:type="dxa"/>
            <w:left w:w="108" w:type="dxa"/>
            <w:bottom w:w="0" w:type="dxa"/>
            <w:right w:w="108" w:type="dxa"/>
          </w:tblCellMar>
        </w:tblPrEx>
        <w:trPr>
          <w:trHeight w:val="278" w:hRule="atLeast"/>
        </w:trPr>
        <w:tc>
          <w:tcPr>
            <w:tcW w:w="918" w:type="pct"/>
            <w:tcBorders>
              <w:top w:val="nil"/>
              <w:left w:val="single" w:color="auto" w:sz="8" w:space="0"/>
              <w:bottom w:val="single" w:color="auto" w:sz="4" w:space="0"/>
              <w:right w:val="single" w:color="auto" w:sz="4" w:space="0"/>
            </w:tcBorders>
            <w:shd w:val="clear" w:color="auto" w:fill="auto"/>
            <w:noWrap/>
            <w:vAlign w:val="center"/>
          </w:tcPr>
          <w:p w14:paraId="76FD815C">
            <w:pPr>
              <w:pStyle w:val="40"/>
            </w:pPr>
            <w:r>
              <w:rPr>
                <w:rFonts w:hint="eastAsia"/>
              </w:rPr>
              <w:t>2010</w:t>
            </w:r>
          </w:p>
        </w:tc>
        <w:tc>
          <w:tcPr>
            <w:tcW w:w="1127" w:type="pct"/>
            <w:tcBorders>
              <w:top w:val="nil"/>
              <w:left w:val="single" w:color="auto" w:sz="8" w:space="0"/>
              <w:bottom w:val="single" w:color="auto" w:sz="4" w:space="0"/>
              <w:right w:val="single" w:color="auto" w:sz="4" w:space="0"/>
            </w:tcBorders>
            <w:shd w:val="clear" w:color="auto" w:fill="auto"/>
            <w:noWrap/>
            <w:vAlign w:val="bottom"/>
          </w:tcPr>
          <w:p w14:paraId="2E962140">
            <w:pPr>
              <w:pStyle w:val="40"/>
            </w:pPr>
            <w:r>
              <w:rPr>
                <w:rFonts w:hint="eastAsia"/>
              </w:rPr>
              <w:t>532281</w:t>
            </w:r>
          </w:p>
        </w:tc>
        <w:tc>
          <w:tcPr>
            <w:tcW w:w="1126" w:type="pct"/>
            <w:tcBorders>
              <w:top w:val="nil"/>
              <w:left w:val="nil"/>
              <w:bottom w:val="single" w:color="auto" w:sz="4" w:space="0"/>
              <w:right w:val="single" w:color="auto" w:sz="4" w:space="0"/>
            </w:tcBorders>
            <w:shd w:val="clear" w:color="auto" w:fill="auto"/>
            <w:noWrap/>
            <w:vAlign w:val="bottom"/>
          </w:tcPr>
          <w:p w14:paraId="5E365208">
            <w:pPr>
              <w:pStyle w:val="40"/>
            </w:pPr>
            <w:r>
              <w:rPr>
                <w:rFonts w:hint="eastAsia"/>
              </w:rPr>
              <w:t>365993</w:t>
            </w:r>
          </w:p>
        </w:tc>
        <w:tc>
          <w:tcPr>
            <w:tcW w:w="1126" w:type="pct"/>
            <w:tcBorders>
              <w:top w:val="nil"/>
              <w:left w:val="nil"/>
              <w:bottom w:val="single" w:color="auto" w:sz="4" w:space="0"/>
              <w:right w:val="single" w:color="auto" w:sz="4" w:space="0"/>
            </w:tcBorders>
            <w:shd w:val="clear" w:color="auto" w:fill="auto"/>
            <w:noWrap/>
            <w:vAlign w:val="bottom"/>
          </w:tcPr>
          <w:p w14:paraId="627E366E">
            <w:pPr>
              <w:pStyle w:val="40"/>
            </w:pPr>
            <w:r>
              <w:rPr>
                <w:rFonts w:hint="eastAsia"/>
              </w:rPr>
              <w:t>84696</w:t>
            </w:r>
          </w:p>
        </w:tc>
        <w:tc>
          <w:tcPr>
            <w:tcW w:w="703" w:type="pct"/>
            <w:tcBorders>
              <w:top w:val="nil"/>
              <w:left w:val="nil"/>
              <w:bottom w:val="single" w:color="auto" w:sz="4" w:space="0"/>
              <w:right w:val="single" w:color="auto" w:sz="8" w:space="0"/>
            </w:tcBorders>
            <w:shd w:val="clear" w:color="auto" w:fill="auto"/>
            <w:noWrap/>
            <w:vAlign w:val="bottom"/>
          </w:tcPr>
          <w:p w14:paraId="350F9E29">
            <w:pPr>
              <w:pStyle w:val="40"/>
            </w:pPr>
            <w:r>
              <w:rPr>
                <w:rFonts w:hint="eastAsia"/>
              </w:rPr>
              <w:t>982970</w:t>
            </w:r>
          </w:p>
        </w:tc>
      </w:tr>
      <w:tr w14:paraId="002725DF">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4" w:space="0"/>
              <w:right w:val="single" w:color="auto" w:sz="4" w:space="0"/>
            </w:tcBorders>
            <w:shd w:val="clear" w:color="auto" w:fill="auto"/>
            <w:noWrap/>
            <w:vAlign w:val="center"/>
          </w:tcPr>
          <w:p w14:paraId="42DDEE83">
            <w:pPr>
              <w:pStyle w:val="40"/>
            </w:pPr>
            <w:r>
              <w:rPr>
                <w:rFonts w:hint="eastAsia"/>
              </w:rPr>
              <w:t>2011</w:t>
            </w:r>
          </w:p>
        </w:tc>
        <w:tc>
          <w:tcPr>
            <w:tcW w:w="1127" w:type="pct"/>
            <w:tcBorders>
              <w:top w:val="nil"/>
              <w:left w:val="single" w:color="auto" w:sz="8" w:space="0"/>
              <w:bottom w:val="single" w:color="auto" w:sz="4" w:space="0"/>
              <w:right w:val="single" w:color="auto" w:sz="4" w:space="0"/>
            </w:tcBorders>
            <w:shd w:val="clear" w:color="auto" w:fill="auto"/>
            <w:noWrap/>
            <w:vAlign w:val="bottom"/>
          </w:tcPr>
          <w:p w14:paraId="00F1DB25">
            <w:pPr>
              <w:pStyle w:val="40"/>
            </w:pPr>
            <w:r>
              <w:rPr>
                <w:rFonts w:hint="eastAsia"/>
              </w:rPr>
              <w:t>620080</w:t>
            </w:r>
          </w:p>
        </w:tc>
        <w:tc>
          <w:tcPr>
            <w:tcW w:w="1126" w:type="pct"/>
            <w:tcBorders>
              <w:top w:val="nil"/>
              <w:left w:val="nil"/>
              <w:bottom w:val="single" w:color="auto" w:sz="4" w:space="0"/>
              <w:right w:val="single" w:color="auto" w:sz="4" w:space="0"/>
            </w:tcBorders>
            <w:shd w:val="clear" w:color="auto" w:fill="auto"/>
            <w:noWrap/>
            <w:vAlign w:val="bottom"/>
          </w:tcPr>
          <w:p w14:paraId="7B0DC582">
            <w:pPr>
              <w:pStyle w:val="40"/>
            </w:pPr>
            <w:r>
              <w:rPr>
                <w:rFonts w:hint="eastAsia"/>
              </w:rPr>
              <w:t>358343</w:t>
            </w:r>
          </w:p>
        </w:tc>
        <w:tc>
          <w:tcPr>
            <w:tcW w:w="1126" w:type="pct"/>
            <w:tcBorders>
              <w:top w:val="nil"/>
              <w:left w:val="nil"/>
              <w:bottom w:val="single" w:color="auto" w:sz="4" w:space="0"/>
              <w:right w:val="single" w:color="auto" w:sz="4" w:space="0"/>
            </w:tcBorders>
            <w:shd w:val="clear" w:color="auto" w:fill="auto"/>
            <w:noWrap/>
            <w:vAlign w:val="bottom"/>
          </w:tcPr>
          <w:p w14:paraId="127AB22D">
            <w:pPr>
              <w:pStyle w:val="40"/>
            </w:pPr>
            <w:r>
              <w:rPr>
                <w:rFonts w:hint="eastAsia"/>
              </w:rPr>
              <w:t>86558</w:t>
            </w:r>
          </w:p>
        </w:tc>
        <w:tc>
          <w:tcPr>
            <w:tcW w:w="703" w:type="pct"/>
            <w:tcBorders>
              <w:top w:val="nil"/>
              <w:left w:val="nil"/>
              <w:bottom w:val="single" w:color="auto" w:sz="4" w:space="0"/>
              <w:right w:val="single" w:color="auto" w:sz="8" w:space="0"/>
            </w:tcBorders>
            <w:shd w:val="clear" w:color="auto" w:fill="auto"/>
            <w:noWrap/>
            <w:vAlign w:val="bottom"/>
          </w:tcPr>
          <w:p w14:paraId="6BF1EDE1">
            <w:pPr>
              <w:pStyle w:val="40"/>
            </w:pPr>
            <w:r>
              <w:rPr>
                <w:rFonts w:hint="eastAsia"/>
              </w:rPr>
              <w:t>1064981</w:t>
            </w:r>
          </w:p>
        </w:tc>
      </w:tr>
      <w:tr w14:paraId="6BCEC66F">
        <w:tblPrEx>
          <w:tblCellMar>
            <w:top w:w="0" w:type="dxa"/>
            <w:left w:w="108" w:type="dxa"/>
            <w:bottom w:w="0" w:type="dxa"/>
            <w:right w:w="108" w:type="dxa"/>
          </w:tblCellMar>
        </w:tblPrEx>
        <w:trPr>
          <w:trHeight w:val="278" w:hRule="atLeast"/>
        </w:trPr>
        <w:tc>
          <w:tcPr>
            <w:tcW w:w="918" w:type="pct"/>
            <w:tcBorders>
              <w:top w:val="nil"/>
              <w:left w:val="single" w:color="auto" w:sz="8" w:space="0"/>
              <w:bottom w:val="single" w:color="auto" w:sz="4" w:space="0"/>
              <w:right w:val="single" w:color="auto" w:sz="4" w:space="0"/>
            </w:tcBorders>
            <w:shd w:val="clear" w:color="auto" w:fill="auto"/>
            <w:noWrap/>
            <w:vAlign w:val="center"/>
          </w:tcPr>
          <w:p w14:paraId="5B459AB7">
            <w:pPr>
              <w:pStyle w:val="40"/>
            </w:pPr>
            <w:r>
              <w:rPr>
                <w:rFonts w:hint="eastAsia"/>
              </w:rPr>
              <w:t>2012</w:t>
            </w:r>
          </w:p>
        </w:tc>
        <w:tc>
          <w:tcPr>
            <w:tcW w:w="1127" w:type="pct"/>
            <w:tcBorders>
              <w:top w:val="nil"/>
              <w:left w:val="single" w:color="auto" w:sz="8" w:space="0"/>
              <w:bottom w:val="single" w:color="auto" w:sz="4" w:space="0"/>
              <w:right w:val="single" w:color="auto" w:sz="4" w:space="0"/>
            </w:tcBorders>
            <w:shd w:val="clear" w:color="auto" w:fill="auto"/>
            <w:noWrap/>
            <w:vAlign w:val="bottom"/>
          </w:tcPr>
          <w:p w14:paraId="17C70E10">
            <w:pPr>
              <w:pStyle w:val="40"/>
            </w:pPr>
            <w:r>
              <w:rPr>
                <w:rFonts w:hint="eastAsia"/>
              </w:rPr>
              <w:t>685730</w:t>
            </w:r>
          </w:p>
        </w:tc>
        <w:tc>
          <w:tcPr>
            <w:tcW w:w="1126" w:type="pct"/>
            <w:tcBorders>
              <w:top w:val="nil"/>
              <w:left w:val="nil"/>
              <w:bottom w:val="single" w:color="auto" w:sz="4" w:space="0"/>
              <w:right w:val="single" w:color="auto" w:sz="4" w:space="0"/>
            </w:tcBorders>
            <w:shd w:val="clear" w:color="auto" w:fill="auto"/>
            <w:noWrap/>
            <w:vAlign w:val="bottom"/>
          </w:tcPr>
          <w:p w14:paraId="1357BCF1">
            <w:pPr>
              <w:pStyle w:val="40"/>
            </w:pPr>
            <w:r>
              <w:rPr>
                <w:rFonts w:hint="eastAsia"/>
              </w:rPr>
              <w:t>377122</w:t>
            </w:r>
          </w:p>
        </w:tc>
        <w:tc>
          <w:tcPr>
            <w:tcW w:w="1126" w:type="pct"/>
            <w:tcBorders>
              <w:top w:val="nil"/>
              <w:left w:val="nil"/>
              <w:bottom w:val="single" w:color="auto" w:sz="4" w:space="0"/>
              <w:right w:val="single" w:color="auto" w:sz="4" w:space="0"/>
            </w:tcBorders>
            <w:shd w:val="clear" w:color="auto" w:fill="auto"/>
            <w:noWrap/>
            <w:vAlign w:val="bottom"/>
          </w:tcPr>
          <w:p w14:paraId="15F06708">
            <w:pPr>
              <w:pStyle w:val="40"/>
            </w:pPr>
            <w:r>
              <w:rPr>
                <w:rFonts w:hint="eastAsia"/>
              </w:rPr>
              <w:t>87822</w:t>
            </w:r>
          </w:p>
        </w:tc>
        <w:tc>
          <w:tcPr>
            <w:tcW w:w="703" w:type="pct"/>
            <w:tcBorders>
              <w:top w:val="nil"/>
              <w:left w:val="nil"/>
              <w:bottom w:val="single" w:color="auto" w:sz="4" w:space="0"/>
              <w:right w:val="single" w:color="auto" w:sz="8" w:space="0"/>
            </w:tcBorders>
            <w:shd w:val="clear" w:color="auto" w:fill="auto"/>
            <w:noWrap/>
            <w:vAlign w:val="bottom"/>
          </w:tcPr>
          <w:p w14:paraId="03C10922">
            <w:pPr>
              <w:pStyle w:val="40"/>
            </w:pPr>
            <w:r>
              <w:rPr>
                <w:rFonts w:hint="eastAsia"/>
              </w:rPr>
              <w:t>1150674</w:t>
            </w:r>
          </w:p>
        </w:tc>
      </w:tr>
      <w:tr w14:paraId="2FB77434">
        <w:tblPrEx>
          <w:tblCellMar>
            <w:top w:w="0" w:type="dxa"/>
            <w:left w:w="108" w:type="dxa"/>
            <w:bottom w:w="0" w:type="dxa"/>
            <w:right w:w="108" w:type="dxa"/>
          </w:tblCellMar>
        </w:tblPrEx>
        <w:trPr>
          <w:trHeight w:val="278" w:hRule="atLeast"/>
        </w:trPr>
        <w:tc>
          <w:tcPr>
            <w:tcW w:w="918" w:type="pct"/>
            <w:tcBorders>
              <w:top w:val="nil"/>
              <w:left w:val="single" w:color="auto" w:sz="8" w:space="0"/>
              <w:bottom w:val="single" w:color="auto" w:sz="4" w:space="0"/>
              <w:right w:val="single" w:color="auto" w:sz="4" w:space="0"/>
            </w:tcBorders>
            <w:shd w:val="clear" w:color="auto" w:fill="auto"/>
            <w:noWrap/>
            <w:vAlign w:val="center"/>
          </w:tcPr>
          <w:p w14:paraId="7F9EC5AB">
            <w:pPr>
              <w:pStyle w:val="40"/>
            </w:pPr>
            <w:r>
              <w:rPr>
                <w:rFonts w:hint="eastAsia"/>
              </w:rPr>
              <w:t>2013</w:t>
            </w:r>
          </w:p>
        </w:tc>
        <w:tc>
          <w:tcPr>
            <w:tcW w:w="1127" w:type="pct"/>
            <w:tcBorders>
              <w:top w:val="nil"/>
              <w:left w:val="single" w:color="auto" w:sz="8" w:space="0"/>
              <w:bottom w:val="single" w:color="auto" w:sz="4" w:space="0"/>
              <w:right w:val="single" w:color="auto" w:sz="4" w:space="0"/>
            </w:tcBorders>
            <w:shd w:val="clear" w:color="auto" w:fill="auto"/>
            <w:noWrap/>
            <w:vAlign w:val="bottom"/>
          </w:tcPr>
          <w:p w14:paraId="21E9ACFF">
            <w:pPr>
              <w:pStyle w:val="40"/>
            </w:pPr>
            <w:r>
              <w:rPr>
                <w:rFonts w:hint="eastAsia"/>
              </w:rPr>
              <w:t>766318</w:t>
            </w:r>
          </w:p>
        </w:tc>
        <w:tc>
          <w:tcPr>
            <w:tcW w:w="1126" w:type="pct"/>
            <w:tcBorders>
              <w:top w:val="nil"/>
              <w:left w:val="nil"/>
              <w:bottom w:val="single" w:color="auto" w:sz="4" w:space="0"/>
              <w:right w:val="single" w:color="auto" w:sz="4" w:space="0"/>
            </w:tcBorders>
            <w:shd w:val="clear" w:color="auto" w:fill="auto"/>
            <w:noWrap/>
            <w:vAlign w:val="bottom"/>
          </w:tcPr>
          <w:p w14:paraId="32815E50">
            <w:pPr>
              <w:pStyle w:val="40"/>
            </w:pPr>
            <w:r>
              <w:rPr>
                <w:rFonts w:hint="eastAsia"/>
              </w:rPr>
              <w:t>399512</w:t>
            </w:r>
          </w:p>
        </w:tc>
        <w:tc>
          <w:tcPr>
            <w:tcW w:w="1126" w:type="pct"/>
            <w:tcBorders>
              <w:top w:val="nil"/>
              <w:left w:val="nil"/>
              <w:bottom w:val="single" w:color="auto" w:sz="4" w:space="0"/>
              <w:right w:val="single" w:color="auto" w:sz="4" w:space="0"/>
            </w:tcBorders>
            <w:shd w:val="clear" w:color="auto" w:fill="auto"/>
            <w:noWrap/>
            <w:vAlign w:val="bottom"/>
          </w:tcPr>
          <w:p w14:paraId="618EC696">
            <w:pPr>
              <w:pStyle w:val="40"/>
            </w:pPr>
            <w:r>
              <w:rPr>
                <w:rFonts w:hint="eastAsia"/>
              </w:rPr>
              <w:t>90079</w:t>
            </w:r>
          </w:p>
        </w:tc>
        <w:tc>
          <w:tcPr>
            <w:tcW w:w="703" w:type="pct"/>
            <w:tcBorders>
              <w:top w:val="nil"/>
              <w:left w:val="nil"/>
              <w:bottom w:val="single" w:color="auto" w:sz="4" w:space="0"/>
              <w:right w:val="single" w:color="auto" w:sz="8" w:space="0"/>
            </w:tcBorders>
            <w:shd w:val="clear" w:color="auto" w:fill="auto"/>
            <w:noWrap/>
            <w:vAlign w:val="bottom"/>
          </w:tcPr>
          <w:p w14:paraId="06D9DC2A">
            <w:pPr>
              <w:pStyle w:val="40"/>
            </w:pPr>
            <w:r>
              <w:rPr>
                <w:rFonts w:hint="eastAsia"/>
              </w:rPr>
              <w:t>1255909</w:t>
            </w:r>
          </w:p>
        </w:tc>
      </w:tr>
      <w:tr w14:paraId="6F574807">
        <w:tblPrEx>
          <w:tblCellMar>
            <w:top w:w="0" w:type="dxa"/>
            <w:left w:w="108" w:type="dxa"/>
            <w:bottom w:w="0" w:type="dxa"/>
            <w:right w:w="108" w:type="dxa"/>
          </w:tblCellMar>
        </w:tblPrEx>
        <w:trPr>
          <w:trHeight w:val="278" w:hRule="atLeast"/>
        </w:trPr>
        <w:tc>
          <w:tcPr>
            <w:tcW w:w="918" w:type="pct"/>
            <w:tcBorders>
              <w:top w:val="nil"/>
              <w:left w:val="single" w:color="auto" w:sz="8" w:space="0"/>
              <w:bottom w:val="single" w:color="auto" w:sz="4" w:space="0"/>
              <w:right w:val="single" w:color="auto" w:sz="4" w:space="0"/>
            </w:tcBorders>
            <w:shd w:val="clear" w:color="auto" w:fill="auto"/>
            <w:noWrap/>
            <w:vAlign w:val="center"/>
          </w:tcPr>
          <w:p w14:paraId="74502841">
            <w:pPr>
              <w:pStyle w:val="40"/>
            </w:pPr>
            <w:r>
              <w:rPr>
                <w:rFonts w:hint="eastAsia"/>
              </w:rPr>
              <w:t>2014</w:t>
            </w:r>
          </w:p>
        </w:tc>
        <w:tc>
          <w:tcPr>
            <w:tcW w:w="1127" w:type="pct"/>
            <w:tcBorders>
              <w:top w:val="nil"/>
              <w:left w:val="single" w:color="auto" w:sz="8" w:space="0"/>
              <w:bottom w:val="single" w:color="auto" w:sz="4" w:space="0"/>
              <w:right w:val="single" w:color="auto" w:sz="4" w:space="0"/>
            </w:tcBorders>
            <w:shd w:val="clear" w:color="auto" w:fill="auto"/>
            <w:noWrap/>
            <w:vAlign w:val="bottom"/>
          </w:tcPr>
          <w:p w14:paraId="10A4D1F0">
            <w:pPr>
              <w:pStyle w:val="40"/>
            </w:pPr>
            <w:r>
              <w:rPr>
                <w:rFonts w:hint="eastAsia"/>
              </w:rPr>
              <w:t>798737</w:t>
            </w:r>
          </w:p>
        </w:tc>
        <w:tc>
          <w:tcPr>
            <w:tcW w:w="1126" w:type="pct"/>
            <w:tcBorders>
              <w:top w:val="nil"/>
              <w:left w:val="nil"/>
              <w:bottom w:val="single" w:color="auto" w:sz="4" w:space="0"/>
              <w:right w:val="single" w:color="auto" w:sz="4" w:space="0"/>
            </w:tcBorders>
            <w:shd w:val="clear" w:color="auto" w:fill="auto"/>
            <w:noWrap/>
            <w:vAlign w:val="bottom"/>
          </w:tcPr>
          <w:p w14:paraId="2D3F1E93">
            <w:pPr>
              <w:pStyle w:val="40"/>
            </w:pPr>
            <w:r>
              <w:rPr>
                <w:rFonts w:hint="eastAsia"/>
              </w:rPr>
              <w:t>402091</w:t>
            </w:r>
          </w:p>
        </w:tc>
        <w:tc>
          <w:tcPr>
            <w:tcW w:w="1126" w:type="pct"/>
            <w:tcBorders>
              <w:top w:val="nil"/>
              <w:left w:val="nil"/>
              <w:bottom w:val="single" w:color="auto" w:sz="4" w:space="0"/>
              <w:right w:val="single" w:color="auto" w:sz="4" w:space="0"/>
            </w:tcBorders>
            <w:shd w:val="clear" w:color="auto" w:fill="auto"/>
            <w:noWrap/>
            <w:vAlign w:val="bottom"/>
          </w:tcPr>
          <w:p w14:paraId="01361498">
            <w:pPr>
              <w:pStyle w:val="40"/>
            </w:pPr>
            <w:r>
              <w:rPr>
                <w:rFonts w:hint="eastAsia"/>
              </w:rPr>
              <w:t>90987</w:t>
            </w:r>
          </w:p>
        </w:tc>
        <w:tc>
          <w:tcPr>
            <w:tcW w:w="703" w:type="pct"/>
            <w:tcBorders>
              <w:top w:val="nil"/>
              <w:left w:val="nil"/>
              <w:bottom w:val="single" w:color="auto" w:sz="4" w:space="0"/>
              <w:right w:val="single" w:color="auto" w:sz="8" w:space="0"/>
            </w:tcBorders>
            <w:shd w:val="clear" w:color="auto" w:fill="auto"/>
            <w:noWrap/>
            <w:vAlign w:val="bottom"/>
          </w:tcPr>
          <w:p w14:paraId="72AF12FC">
            <w:pPr>
              <w:pStyle w:val="40"/>
            </w:pPr>
            <w:r>
              <w:rPr>
                <w:rFonts w:hint="eastAsia"/>
              </w:rPr>
              <w:t>1291815</w:t>
            </w:r>
          </w:p>
        </w:tc>
      </w:tr>
      <w:tr w14:paraId="0B018460">
        <w:tblPrEx>
          <w:tblCellMar>
            <w:top w:w="0" w:type="dxa"/>
            <w:left w:w="108" w:type="dxa"/>
            <w:bottom w:w="0" w:type="dxa"/>
            <w:right w:w="108" w:type="dxa"/>
          </w:tblCellMar>
        </w:tblPrEx>
        <w:trPr>
          <w:trHeight w:val="278" w:hRule="atLeast"/>
        </w:trPr>
        <w:tc>
          <w:tcPr>
            <w:tcW w:w="918" w:type="pct"/>
            <w:tcBorders>
              <w:top w:val="nil"/>
              <w:left w:val="single" w:color="auto" w:sz="8" w:space="0"/>
              <w:bottom w:val="single" w:color="auto" w:sz="4" w:space="0"/>
              <w:right w:val="single" w:color="auto" w:sz="4" w:space="0"/>
            </w:tcBorders>
            <w:shd w:val="clear" w:color="auto" w:fill="auto"/>
            <w:noWrap/>
            <w:vAlign w:val="center"/>
          </w:tcPr>
          <w:p w14:paraId="2F17886B">
            <w:pPr>
              <w:pStyle w:val="40"/>
            </w:pPr>
            <w:r>
              <w:rPr>
                <w:rFonts w:hint="eastAsia"/>
              </w:rPr>
              <w:t>2015</w:t>
            </w:r>
          </w:p>
        </w:tc>
        <w:tc>
          <w:tcPr>
            <w:tcW w:w="1127" w:type="pct"/>
            <w:tcBorders>
              <w:top w:val="nil"/>
              <w:left w:val="single" w:color="auto" w:sz="8" w:space="0"/>
              <w:bottom w:val="single" w:color="auto" w:sz="4" w:space="0"/>
              <w:right w:val="single" w:color="auto" w:sz="4" w:space="0"/>
            </w:tcBorders>
            <w:shd w:val="clear" w:color="auto" w:fill="auto"/>
            <w:noWrap/>
            <w:vAlign w:val="bottom"/>
          </w:tcPr>
          <w:p w14:paraId="54AC2151">
            <w:pPr>
              <w:pStyle w:val="40"/>
            </w:pPr>
            <w:r>
              <w:rPr>
                <w:rFonts w:hint="eastAsia"/>
              </w:rPr>
              <w:t>858348</w:t>
            </w:r>
          </w:p>
        </w:tc>
        <w:tc>
          <w:tcPr>
            <w:tcW w:w="1126" w:type="pct"/>
            <w:tcBorders>
              <w:top w:val="nil"/>
              <w:left w:val="nil"/>
              <w:bottom w:val="single" w:color="auto" w:sz="4" w:space="0"/>
              <w:right w:val="single" w:color="auto" w:sz="4" w:space="0"/>
            </w:tcBorders>
            <w:shd w:val="clear" w:color="auto" w:fill="auto"/>
            <w:noWrap/>
            <w:vAlign w:val="bottom"/>
          </w:tcPr>
          <w:p w14:paraId="169FDF5B">
            <w:pPr>
              <w:pStyle w:val="40"/>
            </w:pPr>
            <w:r>
              <w:rPr>
                <w:rFonts w:hint="eastAsia"/>
              </w:rPr>
              <w:t>434982</w:t>
            </w:r>
          </w:p>
        </w:tc>
        <w:tc>
          <w:tcPr>
            <w:tcW w:w="1126" w:type="pct"/>
            <w:tcBorders>
              <w:top w:val="nil"/>
              <w:left w:val="nil"/>
              <w:bottom w:val="single" w:color="auto" w:sz="4" w:space="0"/>
              <w:right w:val="single" w:color="auto" w:sz="4" w:space="0"/>
            </w:tcBorders>
            <w:shd w:val="clear" w:color="auto" w:fill="auto"/>
            <w:noWrap/>
            <w:vAlign w:val="bottom"/>
          </w:tcPr>
          <w:p w14:paraId="3527A23D">
            <w:pPr>
              <w:pStyle w:val="40"/>
            </w:pPr>
            <w:r>
              <w:rPr>
                <w:rFonts w:hint="eastAsia"/>
              </w:rPr>
              <w:t>101719</w:t>
            </w:r>
          </w:p>
        </w:tc>
        <w:tc>
          <w:tcPr>
            <w:tcW w:w="703" w:type="pct"/>
            <w:tcBorders>
              <w:top w:val="nil"/>
              <w:left w:val="nil"/>
              <w:bottom w:val="single" w:color="auto" w:sz="4" w:space="0"/>
              <w:right w:val="single" w:color="auto" w:sz="8" w:space="0"/>
            </w:tcBorders>
            <w:shd w:val="clear" w:color="auto" w:fill="auto"/>
            <w:noWrap/>
            <w:vAlign w:val="bottom"/>
          </w:tcPr>
          <w:p w14:paraId="018C4184">
            <w:pPr>
              <w:pStyle w:val="40"/>
            </w:pPr>
            <w:r>
              <w:rPr>
                <w:rFonts w:hint="eastAsia"/>
              </w:rPr>
              <w:t>1395049</w:t>
            </w:r>
          </w:p>
        </w:tc>
      </w:tr>
      <w:tr w14:paraId="705EA5FD">
        <w:tblPrEx>
          <w:tblCellMar>
            <w:top w:w="0" w:type="dxa"/>
            <w:left w:w="108" w:type="dxa"/>
            <w:bottom w:w="0" w:type="dxa"/>
            <w:right w:w="108" w:type="dxa"/>
          </w:tblCellMar>
        </w:tblPrEx>
        <w:trPr>
          <w:trHeight w:val="278" w:hRule="atLeast"/>
        </w:trPr>
        <w:tc>
          <w:tcPr>
            <w:tcW w:w="918" w:type="pct"/>
            <w:tcBorders>
              <w:top w:val="nil"/>
              <w:left w:val="single" w:color="auto" w:sz="8" w:space="0"/>
              <w:bottom w:val="single" w:color="auto" w:sz="4" w:space="0"/>
              <w:right w:val="single" w:color="auto" w:sz="4" w:space="0"/>
            </w:tcBorders>
            <w:shd w:val="clear" w:color="auto" w:fill="auto"/>
            <w:noWrap/>
            <w:vAlign w:val="center"/>
          </w:tcPr>
          <w:p w14:paraId="5BB3DD0A">
            <w:pPr>
              <w:pStyle w:val="40"/>
            </w:pPr>
            <w:r>
              <w:rPr>
                <w:rFonts w:hint="eastAsia"/>
              </w:rPr>
              <w:t>2016</w:t>
            </w:r>
          </w:p>
        </w:tc>
        <w:tc>
          <w:tcPr>
            <w:tcW w:w="1127" w:type="pct"/>
            <w:tcBorders>
              <w:top w:val="nil"/>
              <w:left w:val="single" w:color="auto" w:sz="8" w:space="0"/>
              <w:bottom w:val="single" w:color="auto" w:sz="4" w:space="0"/>
              <w:right w:val="single" w:color="auto" w:sz="4" w:space="0"/>
            </w:tcBorders>
            <w:shd w:val="clear" w:color="auto" w:fill="auto"/>
            <w:noWrap/>
            <w:vAlign w:val="bottom"/>
          </w:tcPr>
          <w:p w14:paraId="26430361">
            <w:pPr>
              <w:pStyle w:val="40"/>
            </w:pPr>
            <w:r>
              <w:rPr>
                <w:rFonts w:hint="eastAsia"/>
              </w:rPr>
              <w:t>923285</w:t>
            </w:r>
          </w:p>
        </w:tc>
        <w:tc>
          <w:tcPr>
            <w:tcW w:w="1126" w:type="pct"/>
            <w:tcBorders>
              <w:top w:val="nil"/>
              <w:left w:val="nil"/>
              <w:bottom w:val="single" w:color="auto" w:sz="4" w:space="0"/>
              <w:right w:val="single" w:color="auto" w:sz="4" w:space="0"/>
            </w:tcBorders>
            <w:shd w:val="clear" w:color="auto" w:fill="auto"/>
            <w:noWrap/>
            <w:vAlign w:val="bottom"/>
          </w:tcPr>
          <w:p w14:paraId="5706BD9C">
            <w:pPr>
              <w:pStyle w:val="40"/>
            </w:pPr>
            <w:r>
              <w:rPr>
                <w:rFonts w:hint="eastAsia"/>
              </w:rPr>
              <w:t>461015</w:t>
            </w:r>
          </w:p>
        </w:tc>
        <w:tc>
          <w:tcPr>
            <w:tcW w:w="1126" w:type="pct"/>
            <w:tcBorders>
              <w:top w:val="nil"/>
              <w:left w:val="nil"/>
              <w:bottom w:val="single" w:color="auto" w:sz="4" w:space="0"/>
              <w:right w:val="single" w:color="auto" w:sz="4" w:space="0"/>
            </w:tcBorders>
            <w:shd w:val="clear" w:color="auto" w:fill="auto"/>
            <w:noWrap/>
            <w:vAlign w:val="bottom"/>
          </w:tcPr>
          <w:p w14:paraId="7B2D9154">
            <w:pPr>
              <w:pStyle w:val="40"/>
            </w:pPr>
            <w:r>
              <w:rPr>
                <w:rFonts w:hint="eastAsia"/>
              </w:rPr>
              <w:t>112353</w:t>
            </w:r>
          </w:p>
        </w:tc>
        <w:tc>
          <w:tcPr>
            <w:tcW w:w="703" w:type="pct"/>
            <w:tcBorders>
              <w:top w:val="nil"/>
              <w:left w:val="nil"/>
              <w:bottom w:val="single" w:color="auto" w:sz="4" w:space="0"/>
              <w:right w:val="single" w:color="auto" w:sz="8" w:space="0"/>
            </w:tcBorders>
            <w:shd w:val="clear" w:color="auto" w:fill="auto"/>
            <w:noWrap/>
            <w:vAlign w:val="bottom"/>
          </w:tcPr>
          <w:p w14:paraId="5BB85A94">
            <w:pPr>
              <w:pStyle w:val="40"/>
            </w:pPr>
            <w:r>
              <w:rPr>
                <w:rFonts w:hint="eastAsia"/>
              </w:rPr>
              <w:t>1496653</w:t>
            </w:r>
          </w:p>
        </w:tc>
      </w:tr>
      <w:tr w14:paraId="3C3E86BE">
        <w:tblPrEx>
          <w:tblCellMar>
            <w:top w:w="0" w:type="dxa"/>
            <w:left w:w="108" w:type="dxa"/>
            <w:bottom w:w="0" w:type="dxa"/>
            <w:right w:w="108" w:type="dxa"/>
          </w:tblCellMar>
        </w:tblPrEx>
        <w:trPr>
          <w:trHeight w:val="278" w:hRule="atLeast"/>
        </w:trPr>
        <w:tc>
          <w:tcPr>
            <w:tcW w:w="918" w:type="pct"/>
            <w:tcBorders>
              <w:top w:val="nil"/>
              <w:left w:val="single" w:color="auto" w:sz="8" w:space="0"/>
              <w:bottom w:val="single" w:color="auto" w:sz="4" w:space="0"/>
              <w:right w:val="single" w:color="auto" w:sz="4" w:space="0"/>
            </w:tcBorders>
            <w:shd w:val="clear" w:color="auto" w:fill="auto"/>
            <w:noWrap/>
            <w:vAlign w:val="center"/>
          </w:tcPr>
          <w:p w14:paraId="1824C1C0">
            <w:pPr>
              <w:pStyle w:val="40"/>
            </w:pPr>
            <w:r>
              <w:rPr>
                <w:rFonts w:hint="eastAsia"/>
              </w:rPr>
              <w:t>2017</w:t>
            </w:r>
          </w:p>
        </w:tc>
        <w:tc>
          <w:tcPr>
            <w:tcW w:w="1127" w:type="pct"/>
            <w:tcBorders>
              <w:top w:val="nil"/>
              <w:left w:val="single" w:color="auto" w:sz="8" w:space="0"/>
              <w:bottom w:val="single" w:color="auto" w:sz="4" w:space="0"/>
              <w:right w:val="single" w:color="auto" w:sz="4" w:space="0"/>
            </w:tcBorders>
            <w:shd w:val="clear" w:color="auto" w:fill="auto"/>
            <w:noWrap/>
            <w:vAlign w:val="bottom"/>
          </w:tcPr>
          <w:p w14:paraId="707DABFD">
            <w:pPr>
              <w:pStyle w:val="40"/>
            </w:pPr>
            <w:r>
              <w:rPr>
                <w:rFonts w:hint="eastAsia"/>
              </w:rPr>
              <w:t>974114</w:t>
            </w:r>
          </w:p>
        </w:tc>
        <w:tc>
          <w:tcPr>
            <w:tcW w:w="1126" w:type="pct"/>
            <w:tcBorders>
              <w:top w:val="nil"/>
              <w:left w:val="nil"/>
              <w:bottom w:val="single" w:color="auto" w:sz="4" w:space="0"/>
              <w:right w:val="single" w:color="auto" w:sz="4" w:space="0"/>
            </w:tcBorders>
            <w:shd w:val="clear" w:color="auto" w:fill="auto"/>
            <w:noWrap/>
            <w:vAlign w:val="bottom"/>
          </w:tcPr>
          <w:p w14:paraId="3BEE3E93">
            <w:pPr>
              <w:pStyle w:val="40"/>
            </w:pPr>
            <w:r>
              <w:rPr>
                <w:rFonts w:hint="eastAsia"/>
              </w:rPr>
              <w:t>481597</w:t>
            </w:r>
          </w:p>
        </w:tc>
        <w:tc>
          <w:tcPr>
            <w:tcW w:w="1126" w:type="pct"/>
            <w:tcBorders>
              <w:top w:val="nil"/>
              <w:left w:val="nil"/>
              <w:bottom w:val="single" w:color="auto" w:sz="4" w:space="0"/>
              <w:right w:val="single" w:color="auto" w:sz="4" w:space="0"/>
            </w:tcBorders>
            <w:shd w:val="clear" w:color="auto" w:fill="auto"/>
            <w:noWrap/>
            <w:vAlign w:val="bottom"/>
          </w:tcPr>
          <w:p w14:paraId="65427410">
            <w:pPr>
              <w:pStyle w:val="40"/>
            </w:pPr>
            <w:r>
              <w:rPr>
                <w:rFonts w:hint="eastAsia"/>
              </w:rPr>
              <w:t>124106</w:t>
            </w:r>
          </w:p>
        </w:tc>
        <w:tc>
          <w:tcPr>
            <w:tcW w:w="703" w:type="pct"/>
            <w:tcBorders>
              <w:top w:val="nil"/>
              <w:left w:val="nil"/>
              <w:bottom w:val="single" w:color="auto" w:sz="4" w:space="0"/>
              <w:right w:val="single" w:color="auto" w:sz="8" w:space="0"/>
            </w:tcBorders>
            <w:shd w:val="clear" w:color="auto" w:fill="auto"/>
            <w:noWrap/>
            <w:vAlign w:val="bottom"/>
          </w:tcPr>
          <w:p w14:paraId="09440207">
            <w:pPr>
              <w:pStyle w:val="40"/>
            </w:pPr>
            <w:r>
              <w:rPr>
                <w:rFonts w:hint="eastAsia"/>
              </w:rPr>
              <w:t>1579817</w:t>
            </w:r>
          </w:p>
        </w:tc>
      </w:tr>
      <w:tr w14:paraId="410F7D1C">
        <w:tblPrEx>
          <w:tblCellMar>
            <w:top w:w="0" w:type="dxa"/>
            <w:left w:w="108" w:type="dxa"/>
            <w:bottom w:w="0" w:type="dxa"/>
            <w:right w:w="108" w:type="dxa"/>
          </w:tblCellMar>
        </w:tblPrEx>
        <w:trPr>
          <w:trHeight w:val="278" w:hRule="atLeast"/>
        </w:trPr>
        <w:tc>
          <w:tcPr>
            <w:tcW w:w="918" w:type="pct"/>
            <w:tcBorders>
              <w:top w:val="nil"/>
              <w:left w:val="single" w:color="auto" w:sz="8" w:space="0"/>
              <w:bottom w:val="single" w:color="auto" w:sz="4" w:space="0"/>
              <w:right w:val="single" w:color="auto" w:sz="4" w:space="0"/>
            </w:tcBorders>
            <w:shd w:val="clear" w:color="auto" w:fill="auto"/>
            <w:noWrap/>
            <w:vAlign w:val="center"/>
          </w:tcPr>
          <w:p w14:paraId="4E74BBD4">
            <w:pPr>
              <w:pStyle w:val="40"/>
            </w:pPr>
            <w:r>
              <w:rPr>
                <w:rFonts w:hint="eastAsia"/>
              </w:rPr>
              <w:t>2018</w:t>
            </w:r>
          </w:p>
        </w:tc>
        <w:tc>
          <w:tcPr>
            <w:tcW w:w="1127" w:type="pct"/>
            <w:tcBorders>
              <w:top w:val="nil"/>
              <w:left w:val="single" w:color="auto" w:sz="8" w:space="0"/>
              <w:bottom w:val="single" w:color="auto" w:sz="4" w:space="0"/>
              <w:right w:val="single" w:color="auto" w:sz="4" w:space="0"/>
            </w:tcBorders>
            <w:shd w:val="clear" w:color="auto" w:fill="auto"/>
            <w:noWrap/>
            <w:vAlign w:val="bottom"/>
          </w:tcPr>
          <w:p w14:paraId="7C018951">
            <w:pPr>
              <w:pStyle w:val="40"/>
            </w:pPr>
            <w:r>
              <w:rPr>
                <w:rFonts w:hint="eastAsia"/>
              </w:rPr>
              <w:t>1075977</w:t>
            </w:r>
          </w:p>
        </w:tc>
        <w:tc>
          <w:tcPr>
            <w:tcW w:w="1126" w:type="pct"/>
            <w:tcBorders>
              <w:top w:val="nil"/>
              <w:left w:val="nil"/>
              <w:bottom w:val="single" w:color="auto" w:sz="4" w:space="0"/>
              <w:right w:val="single" w:color="auto" w:sz="4" w:space="0"/>
            </w:tcBorders>
            <w:shd w:val="clear" w:color="auto" w:fill="auto"/>
            <w:noWrap/>
            <w:vAlign w:val="bottom"/>
          </w:tcPr>
          <w:p w14:paraId="4342BC73">
            <w:pPr>
              <w:pStyle w:val="40"/>
            </w:pPr>
            <w:r>
              <w:rPr>
                <w:rFonts w:hint="eastAsia"/>
              </w:rPr>
              <w:t>510217</w:t>
            </w:r>
          </w:p>
        </w:tc>
        <w:tc>
          <w:tcPr>
            <w:tcW w:w="1126" w:type="pct"/>
            <w:tcBorders>
              <w:top w:val="nil"/>
              <w:left w:val="nil"/>
              <w:bottom w:val="single" w:color="auto" w:sz="4" w:space="0"/>
              <w:right w:val="single" w:color="auto" w:sz="4" w:space="0"/>
            </w:tcBorders>
            <w:shd w:val="clear" w:color="auto" w:fill="auto"/>
            <w:noWrap/>
            <w:vAlign w:val="bottom"/>
          </w:tcPr>
          <w:p w14:paraId="5C8F9A7F">
            <w:pPr>
              <w:pStyle w:val="40"/>
            </w:pPr>
            <w:r>
              <w:rPr>
                <w:rFonts w:hint="eastAsia"/>
              </w:rPr>
              <w:t>130686</w:t>
            </w:r>
          </w:p>
        </w:tc>
        <w:tc>
          <w:tcPr>
            <w:tcW w:w="703" w:type="pct"/>
            <w:tcBorders>
              <w:top w:val="nil"/>
              <w:left w:val="nil"/>
              <w:bottom w:val="single" w:color="auto" w:sz="4" w:space="0"/>
              <w:right w:val="single" w:color="auto" w:sz="8" w:space="0"/>
            </w:tcBorders>
            <w:shd w:val="clear" w:color="auto" w:fill="auto"/>
            <w:noWrap/>
            <w:vAlign w:val="bottom"/>
          </w:tcPr>
          <w:p w14:paraId="3BC03A86">
            <w:pPr>
              <w:pStyle w:val="40"/>
            </w:pPr>
            <w:r>
              <w:rPr>
                <w:rFonts w:hint="eastAsia"/>
              </w:rPr>
              <w:t>1716880</w:t>
            </w:r>
          </w:p>
        </w:tc>
      </w:tr>
      <w:tr w14:paraId="5E9D214C">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8" w:space="0"/>
              <w:right w:val="single" w:color="auto" w:sz="4" w:space="0"/>
            </w:tcBorders>
            <w:shd w:val="clear" w:color="auto" w:fill="auto"/>
            <w:noWrap/>
            <w:vAlign w:val="center"/>
          </w:tcPr>
          <w:p w14:paraId="2567B67A">
            <w:pPr>
              <w:pStyle w:val="40"/>
            </w:pPr>
            <w:r>
              <w:rPr>
                <w:rFonts w:hint="eastAsia"/>
              </w:rPr>
              <w:t>2019</w:t>
            </w:r>
          </w:p>
        </w:tc>
        <w:tc>
          <w:tcPr>
            <w:tcW w:w="1127" w:type="pct"/>
            <w:tcBorders>
              <w:top w:val="nil"/>
              <w:left w:val="single" w:color="auto" w:sz="8" w:space="0"/>
              <w:bottom w:val="single" w:color="auto" w:sz="8" w:space="0"/>
              <w:right w:val="single" w:color="auto" w:sz="4" w:space="0"/>
            </w:tcBorders>
            <w:shd w:val="clear" w:color="auto" w:fill="auto"/>
            <w:noWrap/>
            <w:vAlign w:val="bottom"/>
          </w:tcPr>
          <w:p w14:paraId="2CBFD67F">
            <w:pPr>
              <w:pStyle w:val="40"/>
            </w:pPr>
            <w:r>
              <w:rPr>
                <w:rFonts w:hint="eastAsia"/>
              </w:rPr>
              <w:t>1134117</w:t>
            </w:r>
          </w:p>
        </w:tc>
        <w:tc>
          <w:tcPr>
            <w:tcW w:w="1126" w:type="pct"/>
            <w:tcBorders>
              <w:top w:val="nil"/>
              <w:left w:val="nil"/>
              <w:bottom w:val="single" w:color="auto" w:sz="8" w:space="0"/>
              <w:right w:val="single" w:color="auto" w:sz="4" w:space="0"/>
            </w:tcBorders>
            <w:shd w:val="clear" w:color="auto" w:fill="auto"/>
            <w:noWrap/>
            <w:vAlign w:val="bottom"/>
          </w:tcPr>
          <w:p w14:paraId="2CA62084">
            <w:pPr>
              <w:pStyle w:val="40"/>
            </w:pPr>
            <w:r>
              <w:rPr>
                <w:rFonts w:hint="eastAsia"/>
              </w:rPr>
              <w:t>539039</w:t>
            </w:r>
          </w:p>
        </w:tc>
        <w:tc>
          <w:tcPr>
            <w:tcW w:w="1126" w:type="pct"/>
            <w:tcBorders>
              <w:top w:val="nil"/>
              <w:left w:val="nil"/>
              <w:bottom w:val="single" w:color="auto" w:sz="8" w:space="0"/>
              <w:right w:val="single" w:color="auto" w:sz="4" w:space="0"/>
            </w:tcBorders>
            <w:shd w:val="clear" w:color="auto" w:fill="auto"/>
            <w:noWrap/>
            <w:vAlign w:val="bottom"/>
          </w:tcPr>
          <w:p w14:paraId="475466DE">
            <w:pPr>
              <w:pStyle w:val="40"/>
            </w:pPr>
            <w:r>
              <w:rPr>
                <w:rFonts w:hint="eastAsia"/>
              </w:rPr>
              <w:t>145221</w:t>
            </w:r>
          </w:p>
        </w:tc>
        <w:tc>
          <w:tcPr>
            <w:tcW w:w="703" w:type="pct"/>
            <w:tcBorders>
              <w:top w:val="nil"/>
              <w:left w:val="nil"/>
              <w:bottom w:val="single" w:color="auto" w:sz="8" w:space="0"/>
              <w:right w:val="single" w:color="auto" w:sz="8" w:space="0"/>
            </w:tcBorders>
            <w:shd w:val="clear" w:color="auto" w:fill="auto"/>
            <w:noWrap/>
            <w:vAlign w:val="bottom"/>
          </w:tcPr>
          <w:p w14:paraId="470B7DC8">
            <w:pPr>
              <w:pStyle w:val="40"/>
            </w:pPr>
            <w:r>
              <w:rPr>
                <w:rFonts w:hint="eastAsia"/>
              </w:rPr>
              <w:t>1818377</w:t>
            </w:r>
          </w:p>
        </w:tc>
      </w:tr>
      <w:tr w14:paraId="0D43CE58">
        <w:tblPrEx>
          <w:tblCellMar>
            <w:top w:w="0" w:type="dxa"/>
            <w:left w:w="108" w:type="dxa"/>
            <w:bottom w:w="0" w:type="dxa"/>
            <w:right w:w="108" w:type="dxa"/>
          </w:tblCellMar>
        </w:tblPrEx>
        <w:trPr>
          <w:trHeight w:val="278" w:hRule="atLeast"/>
        </w:trPr>
        <w:tc>
          <w:tcPr>
            <w:tcW w:w="5000" w:type="pct"/>
            <w:gridSpan w:val="5"/>
            <w:tcBorders>
              <w:top w:val="nil"/>
              <w:left w:val="nil"/>
              <w:bottom w:val="nil"/>
              <w:right w:val="nil"/>
            </w:tcBorders>
            <w:shd w:val="clear" w:color="auto" w:fill="auto"/>
            <w:noWrap/>
            <w:vAlign w:val="bottom"/>
          </w:tcPr>
          <w:p w14:paraId="30AFBF9E">
            <w:pPr>
              <w:pStyle w:val="40"/>
            </w:pPr>
            <w:r>
              <w:rPr>
                <w:rFonts w:hint="eastAsia"/>
              </w:rPr>
              <w:t>数据来源：2010-2019年沈阳地区全社会用电分类表——沈阳城乡建设局提供</w:t>
            </w:r>
          </w:p>
        </w:tc>
      </w:tr>
    </w:tbl>
    <w:p w14:paraId="6FBA4193">
      <w:pPr>
        <w:pStyle w:val="42"/>
        <w:ind w:left="1200" w:firstLine="0" w:firstLineChars="0"/>
      </w:pPr>
      <w:r>
        <w:drawing>
          <wp:anchor distT="0" distB="0" distL="114300" distR="114300" simplePos="0" relativeHeight="251663360" behindDoc="0" locked="0" layoutInCell="1" allowOverlap="1">
            <wp:simplePos x="0" y="0"/>
            <wp:positionH relativeFrom="column">
              <wp:posOffset>17780</wp:posOffset>
            </wp:positionH>
            <wp:positionV relativeFrom="paragraph">
              <wp:posOffset>316230</wp:posOffset>
            </wp:positionV>
            <wp:extent cx="5327650" cy="2675890"/>
            <wp:effectExtent l="0" t="0" r="0" b="0"/>
            <wp:wrapTopAndBottom/>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
    <w:p w14:paraId="399C9406">
      <w:r>
        <w:rPr>
          <w:rFonts w:hint="eastAsia"/>
        </w:rPr>
        <w:t>图</w:t>
      </w:r>
      <w:r>
        <w:t>8-5 2010-2019年沈阳市城乡用电情况（万千瓦时）</w:t>
      </w:r>
    </w:p>
    <w:p w14:paraId="0C682C97">
      <w:pPr>
        <w:pStyle w:val="42"/>
        <w:ind w:firstLine="0" w:firstLineChars="0"/>
        <w:jc w:val="center"/>
      </w:pPr>
      <w:r>
        <w:drawing>
          <wp:inline distT="0" distB="0" distL="0" distR="0">
            <wp:extent cx="4779010" cy="2663825"/>
            <wp:effectExtent l="0" t="0" r="2540" b="317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E48EF6B">
      <w:r>
        <w:rPr>
          <w:rFonts w:hint="eastAsia"/>
        </w:rPr>
        <w:t>图</w:t>
      </w:r>
      <w:r>
        <w:t>8-6 2010-2019年沈阳市城乡历年用电占比</w:t>
      </w:r>
    </w:p>
    <w:p w14:paraId="4AA65791">
      <w:r>
        <w:drawing>
          <wp:inline distT="0" distB="0" distL="0" distR="0">
            <wp:extent cx="4913630" cy="2395855"/>
            <wp:effectExtent l="0" t="0" r="1270" b="444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8B88C74">
      <w:r>
        <w:rPr>
          <w:rFonts w:hint="eastAsia"/>
        </w:rPr>
        <w:t>图</w:t>
      </w:r>
      <w:r>
        <w:t>8-7 2011-2019年沈阳分类型建筑用电环比增长率</w:t>
      </w:r>
    </w:p>
    <w:p w14:paraId="09FDA70E">
      <w:r>
        <w:t>随着第三产业的发展，沈阳市的建筑领域电力消耗重心逐步向公共建筑转移。沈阳市公共建筑的用电量从2010年的532281万千瓦时，上升至2019年的1134117万千瓦时，公共建筑电耗总体上升至原来的2.13倍。</w:t>
      </w:r>
    </w:p>
    <w:p w14:paraId="38CFC7FD">
      <w:r>
        <w:t>城镇居民用电（1.47倍）与农村居民用电（1.71倍）上升幅度虽略低于公共建筑电耗，但城镇居民与农村居民用电环比增长率仍呈现上升趋势，截至2019年，城镇居住建筑用电与农村居住建筑用电增长率已超过公共建筑，因此建筑领域节能应同时关注各种建筑类型。</w:t>
      </w:r>
    </w:p>
    <w:p w14:paraId="3FEFC8C6">
      <w:pPr>
        <w:pStyle w:val="42"/>
        <w:ind w:left="1200" w:firstLine="0" w:firstLineChars="0"/>
      </w:pPr>
      <w:r>
        <w:drawing>
          <wp:anchor distT="0" distB="0" distL="114300" distR="114300" simplePos="0" relativeHeight="251664384" behindDoc="0" locked="0" layoutInCell="1" allowOverlap="1">
            <wp:simplePos x="0" y="0"/>
            <wp:positionH relativeFrom="column">
              <wp:posOffset>17780</wp:posOffset>
            </wp:positionH>
            <wp:positionV relativeFrom="paragraph">
              <wp:posOffset>316230</wp:posOffset>
            </wp:positionV>
            <wp:extent cx="5327650" cy="2675890"/>
            <wp:effectExtent l="0" t="0" r="0" b="0"/>
            <wp:wrapTopAndBottom/>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p>
    <w:p w14:paraId="1B7D0070">
      <w:r>
        <w:rPr>
          <w:rFonts w:hint="eastAsia"/>
        </w:rPr>
        <w:t>图</w:t>
      </w:r>
      <w:r>
        <w:t>8-8 2010-2019年沈阳市城乡用电情况（万千瓦时）</w:t>
      </w:r>
    </w:p>
    <w:p w14:paraId="133EF014">
      <w:pPr>
        <w:pStyle w:val="42"/>
        <w:ind w:left="1200" w:firstLine="0" w:firstLineChars="0"/>
      </w:pPr>
      <w:r>
        <w:drawing>
          <wp:anchor distT="0" distB="0" distL="114300" distR="114300" simplePos="0" relativeHeight="251666432" behindDoc="0" locked="0" layoutInCell="1" allowOverlap="1">
            <wp:simplePos x="0" y="0"/>
            <wp:positionH relativeFrom="column">
              <wp:posOffset>250190</wp:posOffset>
            </wp:positionH>
            <wp:positionV relativeFrom="paragraph">
              <wp:posOffset>465455</wp:posOffset>
            </wp:positionV>
            <wp:extent cx="4779010" cy="2663825"/>
            <wp:effectExtent l="0" t="0" r="0" b="0"/>
            <wp:wrapTopAndBottom/>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p>
    <w:p w14:paraId="24712D60">
      <w:r>
        <w:rPr>
          <w:rFonts w:hint="eastAsia"/>
        </w:rPr>
        <w:t>图</w:t>
      </w:r>
      <w:r>
        <w:t>8-9 2010-2019年沈阳市城乡历年用电占比</w:t>
      </w:r>
    </w:p>
    <w:p w14:paraId="07825A1B">
      <w:r>
        <w:drawing>
          <wp:anchor distT="0" distB="0" distL="114300" distR="114300" simplePos="0" relativeHeight="251665408" behindDoc="0" locked="0" layoutInCell="1" allowOverlap="1">
            <wp:simplePos x="0" y="0"/>
            <wp:positionH relativeFrom="column">
              <wp:posOffset>172720</wp:posOffset>
            </wp:positionH>
            <wp:positionV relativeFrom="paragraph">
              <wp:posOffset>1898650</wp:posOffset>
            </wp:positionV>
            <wp:extent cx="4913630" cy="2395855"/>
            <wp:effectExtent l="0" t="0" r="0" b="0"/>
            <wp:wrapTopAndBottom/>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anchor>
        </w:drawing>
      </w:r>
      <w:r>
        <w:t>随着第三产业的发展，沈阳市的建筑领域电力消耗重心逐步向公共建筑转移。沈阳市公共建筑的用电量从2010年的532281万千瓦时，上升至2019年的1134117万千瓦时，公共建筑电耗总体上升至原来的2.13倍。</w:t>
      </w:r>
    </w:p>
    <w:p w14:paraId="3D6D6EFA">
      <w:r>
        <w:t>城镇居民用电（1.47倍）与农村居民用电（1.71倍）上升幅度虽略低于公共建筑电耗，但城镇居民与农村居民用电环比增长率仍呈现上升趋势，截至2019年，城镇居住建筑用电与农村居住建筑用电增长率已超过公共建筑，因此建筑领域节能应同时关注各种建筑类型。</w:t>
      </w:r>
    </w:p>
    <w:p w14:paraId="699D9A61">
      <w:r>
        <w:rPr>
          <w:rFonts w:hint="eastAsia"/>
        </w:rPr>
        <w:t>图</w:t>
      </w:r>
      <w:r>
        <w:t>8-10 2011-2019年沈阳分类型建筑用电环比增长率</w:t>
      </w:r>
    </w:p>
    <w:p w14:paraId="4C247CFE">
      <w:pPr>
        <w:pStyle w:val="42"/>
        <w:ind w:left="1200" w:firstLine="0" w:firstLineChars="0"/>
      </w:pPr>
    </w:p>
    <w:p w14:paraId="6C669C1F">
      <w:pPr>
        <w:pStyle w:val="61"/>
        <w:ind w:firstLine="0"/>
      </w:pPr>
      <w:r>
        <w:rPr>
          <w:rFonts w:hint="eastAsia"/>
        </w:rPr>
        <w:t>2</w:t>
      </w:r>
      <w:r>
        <w:t xml:space="preserve">.3 </w:t>
      </w:r>
      <w:r>
        <w:rPr>
          <w:rFonts w:hint="eastAsia"/>
        </w:rPr>
        <w:t>一次能源消耗</w:t>
      </w:r>
    </w:p>
    <w:p w14:paraId="1EF6A31A">
      <w:pPr>
        <w:rPr>
          <w:kern w:val="2"/>
        </w:rPr>
      </w:pPr>
      <w:r>
        <w:t>基于2010年至2019年《中国城市建设统计年鉴》的公开数据，梳理沈阳市用于居民家庭和集中供热的天然气与液化石油气消耗量如图所示。</w:t>
      </w:r>
    </w:p>
    <w:p w14:paraId="3E408601">
      <w:pPr>
        <w:pStyle w:val="61"/>
        <w:ind w:firstLine="0"/>
      </w:pPr>
      <w:r>
        <w:drawing>
          <wp:inline distT="0" distB="0" distL="0" distR="0">
            <wp:extent cx="4508500" cy="2310130"/>
            <wp:effectExtent l="0" t="0" r="0" b="0"/>
            <wp:docPr id="33" name="图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988EE99">
      <w:r>
        <w:rPr>
          <w:rFonts w:hint="eastAsia"/>
        </w:rPr>
        <w:t>图</w:t>
      </w:r>
      <w:r>
        <w:t>8-11 2010-2019年沈阳市城镇一次能源消耗情况</w:t>
      </w:r>
    </w:p>
    <w:p w14:paraId="60299555">
      <w:r>
        <w:t>近十年间，沈阳市居民家庭天然气用量整体呈现上升趋势，从2010年的18081万立方米增长至2019年的21237万立方米，随着北方对城镇清洁供暖方式的推广，截至2019年沈阳市用于集中供暖的天然气净增长1464万立方米。</w:t>
      </w:r>
    </w:p>
    <w:p w14:paraId="4BBAA5E2">
      <w:pPr>
        <w:ind w:firstLineChars="0"/>
      </w:pPr>
      <w:r>
        <w:rPr>
          <w:rFonts w:hint="eastAsia"/>
        </w:rPr>
        <w:t>一次能源消耗量可以根据不同种类化石能源的消费量和各种能源对应的折标准煤换算系数计算得到，即：</w:t>
      </w:r>
    </w:p>
    <w:p w14:paraId="457BA23C">
      <w:pPr>
        <w:jc w:val="right"/>
      </w:pPr>
      <m:oMath>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hint="eastAsia" w:ascii="Cambria Math" w:hAnsi="Cambria Math"/>
              </w:rPr>
              <m:t>一次</m:t>
            </m:r>
            <m:ctrlPr>
              <w:rPr>
                <w:rFonts w:ascii="Cambria Math" w:hAnsi="Cambria Math"/>
              </w:rPr>
            </m:ctrlPr>
          </m:sub>
        </m:sSub>
        <m:r>
          <m:rPr>
            <m:sty m:val="p"/>
          </m:rPr>
          <w:rPr>
            <w:rFonts w:ascii="Cambria Math" w:hAnsi="Cambria Math"/>
          </w:rPr>
          <m:t>=</m:t>
        </m:r>
        <m:nary>
          <m:naryPr>
            <m:chr m:val="∑"/>
            <m:subHide m:val="1"/>
            <m:supHide m:val="1"/>
            <m:ctrlPr>
              <w:rPr>
                <w:rFonts w:ascii="Cambria Math" w:hAnsi="Cambria Math"/>
              </w:rPr>
            </m:ctrlPr>
          </m:naryPr>
          <m:sub>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r>
              <m:rPr/>
              <w:rPr>
                <w:rFonts w:ascii="Cambria Math" w:hAnsi="Cambria Math"/>
              </w:rPr>
              <m:t>i</m:t>
            </m:r>
            <m:r>
              <m:rPr>
                <m:sty m:val="p"/>
              </m:rPr>
              <w:rPr>
                <w:rFonts w:hint="eastAsia" w:ascii="Cambria Math" w:hAnsi="Cambria Math"/>
              </w:rPr>
              <m:t>种化石能源对应的折标煤系数</m:t>
            </m:r>
            <m:ctrlPr>
              <w:rPr>
                <w:rFonts w:ascii="Cambria Math" w:hAnsi="Cambria Math"/>
              </w:rPr>
            </m:ctrlPr>
          </m:e>
        </m:nary>
      </m:oMath>
      <w:r>
        <w:t xml:space="preserve">         </w:t>
      </w:r>
      <w:r>
        <w:rPr>
          <w:rFonts w:hint="eastAsia"/>
        </w:rPr>
        <w:t>（</w:t>
      </w:r>
      <w:r>
        <w:t>B-2</w:t>
      </w:r>
      <w:r>
        <w:rPr>
          <w:rFonts w:hint="eastAsia"/>
        </w:rPr>
        <w:t>）</w:t>
      </w:r>
    </w:p>
    <w:p w14:paraId="28C47943">
      <w:r>
        <w:rPr>
          <w:rFonts w:hint="eastAsia"/>
        </w:rPr>
        <w:t>其中，</w:t>
      </w:r>
      <w:r>
        <w:t>Pi</w:t>
      </w:r>
      <w:r>
        <w:rPr>
          <w:rFonts w:hint="eastAsia"/>
        </w:rPr>
        <w:t>表示不同种类化石能源（包括煤炭、石油、天然气）的消费量（实物量），</w:t>
      </w:r>
      <w:r>
        <w:t>i</w:t>
      </w:r>
      <w:r>
        <w:rPr>
          <w:rFonts w:hint="eastAsia"/>
        </w:rPr>
        <w:t>种化石能源对应的折标煤系数，以各年度《中国能源统计年鉴》附录为准。</w:t>
      </w:r>
    </w:p>
    <w:p w14:paraId="6398C865">
      <w:pPr>
        <w:spacing w:line="400" w:lineRule="exact"/>
      </w:pPr>
      <w:r>
        <w:rPr>
          <w:rFonts w:hint="eastAsia"/>
        </w:rPr>
        <w:t>其中煤炭为</w:t>
      </w:r>
      <w:r>
        <w:t>0.7143</w:t>
      </w:r>
      <w:r>
        <w:rPr>
          <w:rFonts w:hint="eastAsia"/>
        </w:rPr>
        <w:t>千克标准煤</w:t>
      </w:r>
      <w:r>
        <w:t>/</w:t>
      </w:r>
      <w:r>
        <w:rPr>
          <w:rFonts w:hint="eastAsia"/>
        </w:rPr>
        <w:t>千克，液化石油气为</w:t>
      </w:r>
      <w:r>
        <w:t>1.7572</w:t>
      </w:r>
      <w:r>
        <w:rPr>
          <w:rFonts w:hint="eastAsia"/>
        </w:rPr>
        <w:t>千克标准煤</w:t>
      </w:r>
      <w:r>
        <w:t>/</w:t>
      </w:r>
      <w:r>
        <w:rPr>
          <w:rFonts w:hint="eastAsia"/>
        </w:rPr>
        <w:t>千克，天然气为</w:t>
      </w:r>
      <w:r>
        <w:t>1.3300</w:t>
      </w:r>
      <w:r>
        <w:rPr>
          <w:rFonts w:hint="eastAsia"/>
        </w:rPr>
        <w:t>千克标准煤</w:t>
      </w:r>
      <w:r>
        <w:t>/</w:t>
      </w:r>
      <w:r>
        <w:rPr>
          <w:rFonts w:hint="eastAsia"/>
        </w:rPr>
        <w:t>立方米。</w:t>
      </w:r>
    </w:p>
    <w:p w14:paraId="4B47258E">
      <w:pPr>
        <w:widowControl/>
        <w:suppressAutoHyphens w:val="0"/>
        <w:spacing w:line="240" w:lineRule="auto"/>
        <w:ind w:firstLine="0" w:firstLineChars="0"/>
        <w:jc w:val="left"/>
        <w:rPr>
          <w:rFonts w:ascii="Times New Roman" w:hAnsi="Times New Roman" w:eastAsia="宋体"/>
          <w:szCs w:val="24"/>
        </w:rPr>
      </w:pPr>
      <w:r>
        <w:rPr>
          <w:rFonts w:ascii="Times New Roman" w:hAnsi="Times New Roman" w:eastAsia="宋体"/>
          <w:szCs w:val="24"/>
        </w:rPr>
        <w:br w:type="page"/>
      </w:r>
    </w:p>
    <w:tbl>
      <w:tblPr>
        <w:tblStyle w:val="20"/>
        <w:tblW w:w="5000" w:type="pct"/>
        <w:tblInd w:w="0" w:type="dxa"/>
        <w:tblLayout w:type="autofit"/>
        <w:tblCellMar>
          <w:top w:w="0" w:type="dxa"/>
          <w:left w:w="108" w:type="dxa"/>
          <w:bottom w:w="0" w:type="dxa"/>
          <w:right w:w="108" w:type="dxa"/>
        </w:tblCellMar>
      </w:tblPr>
      <w:tblGrid>
        <w:gridCol w:w="897"/>
        <w:gridCol w:w="2993"/>
        <w:gridCol w:w="1641"/>
        <w:gridCol w:w="2991"/>
      </w:tblGrid>
      <w:tr w14:paraId="0BAB90B7">
        <w:tblPrEx>
          <w:tblCellMar>
            <w:top w:w="0" w:type="dxa"/>
            <w:left w:w="108" w:type="dxa"/>
            <w:bottom w:w="0" w:type="dxa"/>
            <w:right w:w="108" w:type="dxa"/>
          </w:tblCellMar>
        </w:tblPrEx>
        <w:trPr>
          <w:trHeight w:val="371" w:hRule="atLeast"/>
        </w:trPr>
        <w:tc>
          <w:tcPr>
            <w:tcW w:w="5000" w:type="pct"/>
            <w:gridSpan w:val="4"/>
            <w:tcBorders>
              <w:top w:val="nil"/>
              <w:left w:val="nil"/>
              <w:bottom w:val="nil"/>
              <w:right w:val="nil"/>
            </w:tcBorders>
            <w:shd w:val="clear" w:color="auto" w:fill="auto"/>
            <w:noWrap/>
            <w:vAlign w:val="bottom"/>
          </w:tcPr>
          <w:p w14:paraId="472A59D2">
            <w:r>
              <w:rPr>
                <w:rFonts w:hint="eastAsia"/>
              </w:rPr>
              <w:t>表</w:t>
            </w:r>
            <w:r>
              <w:t xml:space="preserve">8-4 </w:t>
            </w:r>
            <w:r>
              <w:rPr>
                <w:rFonts w:hint="eastAsia"/>
              </w:rPr>
              <w:t>各种燃料折算成标准煤的转换系数</w:t>
            </w:r>
          </w:p>
        </w:tc>
      </w:tr>
      <w:tr w14:paraId="40110EDE">
        <w:tblPrEx>
          <w:tblCellMar>
            <w:top w:w="0" w:type="dxa"/>
            <w:left w:w="108" w:type="dxa"/>
            <w:bottom w:w="0" w:type="dxa"/>
            <w:right w:w="108" w:type="dxa"/>
          </w:tblCellMar>
        </w:tblPrEx>
        <w:trPr>
          <w:trHeight w:val="371" w:hRule="atLeast"/>
        </w:trPr>
        <w:tc>
          <w:tcPr>
            <w:tcW w:w="526" w:type="pct"/>
            <w:tcBorders>
              <w:top w:val="single" w:color="auto" w:sz="8" w:space="0"/>
              <w:left w:val="single" w:color="auto" w:sz="8" w:space="0"/>
              <w:bottom w:val="single" w:color="auto" w:sz="4" w:space="0"/>
              <w:right w:val="single" w:color="auto" w:sz="4" w:space="0"/>
            </w:tcBorders>
            <w:shd w:val="clear" w:color="auto" w:fill="auto"/>
            <w:noWrap/>
            <w:vAlign w:val="center"/>
          </w:tcPr>
          <w:p w14:paraId="653EB4CB">
            <w:pPr>
              <w:pStyle w:val="40"/>
            </w:pPr>
            <w:r>
              <w:rPr>
                <w:rFonts w:hint="eastAsia"/>
              </w:rPr>
              <w:t>序号</w:t>
            </w:r>
          </w:p>
        </w:tc>
        <w:tc>
          <w:tcPr>
            <w:tcW w:w="1756" w:type="pct"/>
            <w:tcBorders>
              <w:top w:val="single" w:color="auto" w:sz="8" w:space="0"/>
              <w:left w:val="nil"/>
              <w:bottom w:val="single" w:color="auto" w:sz="4" w:space="0"/>
              <w:right w:val="single" w:color="auto" w:sz="4" w:space="0"/>
            </w:tcBorders>
            <w:shd w:val="clear" w:color="auto" w:fill="auto"/>
            <w:noWrap/>
            <w:vAlign w:val="center"/>
          </w:tcPr>
          <w:p w14:paraId="39EB0E83">
            <w:pPr>
              <w:pStyle w:val="40"/>
            </w:pPr>
            <w:r>
              <w:rPr>
                <w:rFonts w:hint="eastAsia"/>
              </w:rPr>
              <w:t>能源类型</w:t>
            </w:r>
          </w:p>
        </w:tc>
        <w:tc>
          <w:tcPr>
            <w:tcW w:w="963" w:type="pct"/>
            <w:tcBorders>
              <w:top w:val="single" w:color="auto" w:sz="8" w:space="0"/>
              <w:left w:val="nil"/>
              <w:bottom w:val="single" w:color="auto" w:sz="4" w:space="0"/>
              <w:right w:val="single" w:color="auto" w:sz="4" w:space="0"/>
            </w:tcBorders>
            <w:shd w:val="clear" w:color="auto" w:fill="auto"/>
            <w:noWrap/>
            <w:vAlign w:val="center"/>
          </w:tcPr>
          <w:p w14:paraId="10F1C071">
            <w:pPr>
              <w:pStyle w:val="40"/>
            </w:pPr>
            <w:r>
              <w:rPr>
                <w:rFonts w:hint="eastAsia"/>
              </w:rPr>
              <w:t>1标准量</w:t>
            </w:r>
          </w:p>
        </w:tc>
        <w:tc>
          <w:tcPr>
            <w:tcW w:w="1755" w:type="pct"/>
            <w:tcBorders>
              <w:top w:val="single" w:color="auto" w:sz="8" w:space="0"/>
              <w:left w:val="nil"/>
              <w:bottom w:val="single" w:color="auto" w:sz="4" w:space="0"/>
              <w:right w:val="single" w:color="auto" w:sz="8" w:space="0"/>
            </w:tcBorders>
            <w:shd w:val="clear" w:color="auto" w:fill="auto"/>
            <w:noWrap/>
            <w:vAlign w:val="center"/>
          </w:tcPr>
          <w:p w14:paraId="3B9F8142">
            <w:pPr>
              <w:pStyle w:val="40"/>
            </w:pPr>
            <w:r>
              <w:rPr>
                <w:rFonts w:hint="eastAsia"/>
              </w:rPr>
              <w:t>折算为标准煤量</w:t>
            </w:r>
          </w:p>
        </w:tc>
      </w:tr>
      <w:tr w14:paraId="6E510FCB">
        <w:tblPrEx>
          <w:tblCellMar>
            <w:top w:w="0" w:type="dxa"/>
            <w:left w:w="108" w:type="dxa"/>
            <w:bottom w:w="0" w:type="dxa"/>
            <w:right w:w="108" w:type="dxa"/>
          </w:tblCellMar>
        </w:tblPrEx>
        <w:trPr>
          <w:trHeight w:val="371" w:hRule="atLeast"/>
        </w:trPr>
        <w:tc>
          <w:tcPr>
            <w:tcW w:w="526" w:type="pct"/>
            <w:tcBorders>
              <w:top w:val="nil"/>
              <w:left w:val="single" w:color="auto" w:sz="8" w:space="0"/>
              <w:bottom w:val="single" w:color="auto" w:sz="4" w:space="0"/>
              <w:right w:val="single" w:color="auto" w:sz="4" w:space="0"/>
            </w:tcBorders>
            <w:shd w:val="clear" w:color="auto" w:fill="auto"/>
            <w:noWrap/>
            <w:vAlign w:val="center"/>
          </w:tcPr>
          <w:p w14:paraId="4D1C91ED">
            <w:pPr>
              <w:pStyle w:val="40"/>
            </w:pPr>
            <w:r>
              <w:rPr>
                <w:rFonts w:hint="eastAsia"/>
              </w:rPr>
              <w:t>1</w:t>
            </w:r>
          </w:p>
        </w:tc>
        <w:tc>
          <w:tcPr>
            <w:tcW w:w="1756" w:type="pct"/>
            <w:tcBorders>
              <w:top w:val="nil"/>
              <w:left w:val="nil"/>
              <w:bottom w:val="single" w:color="auto" w:sz="4" w:space="0"/>
              <w:right w:val="single" w:color="auto" w:sz="4" w:space="0"/>
            </w:tcBorders>
            <w:shd w:val="clear" w:color="auto" w:fill="auto"/>
            <w:noWrap/>
            <w:vAlign w:val="center"/>
          </w:tcPr>
          <w:p w14:paraId="15A98F48">
            <w:pPr>
              <w:pStyle w:val="40"/>
            </w:pPr>
            <w:r>
              <w:rPr>
                <w:rFonts w:hint="eastAsia"/>
              </w:rPr>
              <w:t>电力（等价值）</w:t>
            </w:r>
          </w:p>
        </w:tc>
        <w:tc>
          <w:tcPr>
            <w:tcW w:w="963" w:type="pct"/>
            <w:tcBorders>
              <w:top w:val="nil"/>
              <w:left w:val="nil"/>
              <w:bottom w:val="single" w:color="auto" w:sz="4" w:space="0"/>
              <w:right w:val="single" w:color="auto" w:sz="4" w:space="0"/>
            </w:tcBorders>
            <w:shd w:val="clear" w:color="auto" w:fill="auto"/>
            <w:noWrap/>
            <w:vAlign w:val="center"/>
          </w:tcPr>
          <w:p w14:paraId="34000D4F">
            <w:pPr>
              <w:pStyle w:val="40"/>
            </w:pPr>
            <w:r>
              <w:rPr>
                <w:rFonts w:hint="eastAsia"/>
              </w:rPr>
              <w:t>1千瓦时</w:t>
            </w:r>
          </w:p>
        </w:tc>
        <w:tc>
          <w:tcPr>
            <w:tcW w:w="1755" w:type="pct"/>
            <w:tcBorders>
              <w:top w:val="nil"/>
              <w:left w:val="nil"/>
              <w:bottom w:val="single" w:color="auto" w:sz="4" w:space="0"/>
              <w:right w:val="single" w:color="auto" w:sz="8" w:space="0"/>
            </w:tcBorders>
            <w:shd w:val="clear" w:color="auto" w:fill="auto"/>
            <w:noWrap/>
            <w:vAlign w:val="center"/>
          </w:tcPr>
          <w:p w14:paraId="2A8FFF68">
            <w:pPr>
              <w:pStyle w:val="40"/>
            </w:pPr>
            <w:r>
              <w:rPr>
                <w:rFonts w:hint="eastAsia"/>
              </w:rPr>
              <w:t>0.4040千克</w:t>
            </w:r>
          </w:p>
        </w:tc>
      </w:tr>
      <w:tr w14:paraId="3C0B26BA">
        <w:tblPrEx>
          <w:tblCellMar>
            <w:top w:w="0" w:type="dxa"/>
            <w:left w:w="108" w:type="dxa"/>
            <w:bottom w:w="0" w:type="dxa"/>
            <w:right w:w="108" w:type="dxa"/>
          </w:tblCellMar>
        </w:tblPrEx>
        <w:trPr>
          <w:trHeight w:val="371" w:hRule="atLeast"/>
        </w:trPr>
        <w:tc>
          <w:tcPr>
            <w:tcW w:w="526" w:type="pct"/>
            <w:tcBorders>
              <w:top w:val="nil"/>
              <w:left w:val="single" w:color="auto" w:sz="8" w:space="0"/>
              <w:bottom w:val="single" w:color="auto" w:sz="4" w:space="0"/>
              <w:right w:val="single" w:color="auto" w:sz="4" w:space="0"/>
            </w:tcBorders>
            <w:shd w:val="clear" w:color="auto" w:fill="auto"/>
            <w:noWrap/>
            <w:vAlign w:val="center"/>
          </w:tcPr>
          <w:p w14:paraId="7ABE147A">
            <w:pPr>
              <w:pStyle w:val="40"/>
            </w:pPr>
            <w:r>
              <w:rPr>
                <w:rFonts w:hint="eastAsia"/>
              </w:rPr>
              <w:t>2</w:t>
            </w:r>
          </w:p>
        </w:tc>
        <w:tc>
          <w:tcPr>
            <w:tcW w:w="1756" w:type="pct"/>
            <w:tcBorders>
              <w:top w:val="nil"/>
              <w:left w:val="nil"/>
              <w:bottom w:val="single" w:color="auto" w:sz="4" w:space="0"/>
              <w:right w:val="single" w:color="auto" w:sz="4" w:space="0"/>
            </w:tcBorders>
            <w:shd w:val="clear" w:color="auto" w:fill="auto"/>
            <w:noWrap/>
            <w:vAlign w:val="center"/>
          </w:tcPr>
          <w:p w14:paraId="7AF1AC73">
            <w:pPr>
              <w:pStyle w:val="40"/>
            </w:pPr>
            <w:r>
              <w:rPr>
                <w:rFonts w:hint="eastAsia"/>
              </w:rPr>
              <w:t>电力（当量值）</w:t>
            </w:r>
          </w:p>
        </w:tc>
        <w:tc>
          <w:tcPr>
            <w:tcW w:w="963" w:type="pct"/>
            <w:tcBorders>
              <w:top w:val="nil"/>
              <w:left w:val="nil"/>
              <w:bottom w:val="single" w:color="auto" w:sz="4" w:space="0"/>
              <w:right w:val="single" w:color="auto" w:sz="4" w:space="0"/>
            </w:tcBorders>
            <w:shd w:val="clear" w:color="auto" w:fill="auto"/>
            <w:noWrap/>
            <w:vAlign w:val="center"/>
          </w:tcPr>
          <w:p w14:paraId="5F708745">
            <w:pPr>
              <w:pStyle w:val="40"/>
            </w:pPr>
            <w:r>
              <w:rPr>
                <w:rFonts w:hint="eastAsia"/>
              </w:rPr>
              <w:t>1千瓦时</w:t>
            </w:r>
          </w:p>
        </w:tc>
        <w:tc>
          <w:tcPr>
            <w:tcW w:w="1755" w:type="pct"/>
            <w:tcBorders>
              <w:top w:val="nil"/>
              <w:left w:val="nil"/>
              <w:bottom w:val="single" w:color="auto" w:sz="4" w:space="0"/>
              <w:right w:val="single" w:color="auto" w:sz="8" w:space="0"/>
            </w:tcBorders>
            <w:shd w:val="clear" w:color="auto" w:fill="auto"/>
            <w:noWrap/>
            <w:vAlign w:val="center"/>
          </w:tcPr>
          <w:p w14:paraId="64773CA8">
            <w:pPr>
              <w:pStyle w:val="40"/>
            </w:pPr>
            <w:r>
              <w:rPr>
                <w:rFonts w:hint="eastAsia"/>
              </w:rPr>
              <w:t>0.1229千克</w:t>
            </w:r>
          </w:p>
        </w:tc>
      </w:tr>
      <w:tr w14:paraId="0C2A1D6F">
        <w:tblPrEx>
          <w:tblCellMar>
            <w:top w:w="0" w:type="dxa"/>
            <w:left w:w="108" w:type="dxa"/>
            <w:bottom w:w="0" w:type="dxa"/>
            <w:right w:w="108" w:type="dxa"/>
          </w:tblCellMar>
        </w:tblPrEx>
        <w:trPr>
          <w:trHeight w:val="371" w:hRule="atLeast"/>
        </w:trPr>
        <w:tc>
          <w:tcPr>
            <w:tcW w:w="526" w:type="pct"/>
            <w:tcBorders>
              <w:top w:val="nil"/>
              <w:left w:val="single" w:color="auto" w:sz="8" w:space="0"/>
              <w:bottom w:val="single" w:color="auto" w:sz="4" w:space="0"/>
              <w:right w:val="single" w:color="auto" w:sz="4" w:space="0"/>
            </w:tcBorders>
            <w:shd w:val="clear" w:color="auto" w:fill="auto"/>
            <w:noWrap/>
            <w:vAlign w:val="center"/>
          </w:tcPr>
          <w:p w14:paraId="3E6A8456">
            <w:pPr>
              <w:pStyle w:val="40"/>
            </w:pPr>
            <w:r>
              <w:rPr>
                <w:rFonts w:hint="eastAsia"/>
              </w:rPr>
              <w:t>3</w:t>
            </w:r>
          </w:p>
        </w:tc>
        <w:tc>
          <w:tcPr>
            <w:tcW w:w="1756" w:type="pct"/>
            <w:tcBorders>
              <w:top w:val="nil"/>
              <w:left w:val="nil"/>
              <w:bottom w:val="single" w:color="auto" w:sz="4" w:space="0"/>
              <w:right w:val="single" w:color="auto" w:sz="4" w:space="0"/>
            </w:tcBorders>
            <w:shd w:val="clear" w:color="auto" w:fill="auto"/>
            <w:noWrap/>
            <w:vAlign w:val="center"/>
          </w:tcPr>
          <w:p w14:paraId="6605E3D6">
            <w:pPr>
              <w:pStyle w:val="40"/>
            </w:pPr>
            <w:r>
              <w:rPr>
                <w:rFonts w:hint="eastAsia"/>
              </w:rPr>
              <w:t>天然气</w:t>
            </w:r>
          </w:p>
        </w:tc>
        <w:tc>
          <w:tcPr>
            <w:tcW w:w="963" w:type="pct"/>
            <w:tcBorders>
              <w:top w:val="nil"/>
              <w:left w:val="nil"/>
              <w:bottom w:val="single" w:color="auto" w:sz="4" w:space="0"/>
              <w:right w:val="single" w:color="auto" w:sz="4" w:space="0"/>
            </w:tcBorders>
            <w:shd w:val="clear" w:color="auto" w:fill="auto"/>
            <w:noWrap/>
            <w:vAlign w:val="center"/>
          </w:tcPr>
          <w:p w14:paraId="78AC9035">
            <w:pPr>
              <w:pStyle w:val="40"/>
            </w:pPr>
            <w:r>
              <w:rPr>
                <w:rFonts w:hint="eastAsia"/>
              </w:rPr>
              <w:t>1立方米</w:t>
            </w:r>
          </w:p>
        </w:tc>
        <w:tc>
          <w:tcPr>
            <w:tcW w:w="1755" w:type="pct"/>
            <w:tcBorders>
              <w:top w:val="nil"/>
              <w:left w:val="nil"/>
              <w:bottom w:val="single" w:color="auto" w:sz="4" w:space="0"/>
              <w:right w:val="single" w:color="auto" w:sz="8" w:space="0"/>
            </w:tcBorders>
            <w:shd w:val="clear" w:color="auto" w:fill="auto"/>
            <w:noWrap/>
            <w:vAlign w:val="center"/>
          </w:tcPr>
          <w:p w14:paraId="3785C67A">
            <w:pPr>
              <w:pStyle w:val="40"/>
            </w:pPr>
            <w:r>
              <w:rPr>
                <w:rFonts w:hint="eastAsia"/>
              </w:rPr>
              <w:t>1.3300千克</w:t>
            </w:r>
          </w:p>
        </w:tc>
      </w:tr>
      <w:tr w14:paraId="78EA88DF">
        <w:tblPrEx>
          <w:tblCellMar>
            <w:top w:w="0" w:type="dxa"/>
            <w:left w:w="108" w:type="dxa"/>
            <w:bottom w:w="0" w:type="dxa"/>
            <w:right w:w="108" w:type="dxa"/>
          </w:tblCellMar>
        </w:tblPrEx>
        <w:trPr>
          <w:trHeight w:val="371" w:hRule="atLeast"/>
        </w:trPr>
        <w:tc>
          <w:tcPr>
            <w:tcW w:w="526" w:type="pct"/>
            <w:tcBorders>
              <w:top w:val="nil"/>
              <w:left w:val="single" w:color="auto" w:sz="8" w:space="0"/>
              <w:bottom w:val="single" w:color="auto" w:sz="4" w:space="0"/>
              <w:right w:val="single" w:color="auto" w:sz="4" w:space="0"/>
            </w:tcBorders>
            <w:shd w:val="clear" w:color="auto" w:fill="auto"/>
            <w:noWrap/>
            <w:vAlign w:val="center"/>
          </w:tcPr>
          <w:p w14:paraId="2066F8B9">
            <w:pPr>
              <w:pStyle w:val="40"/>
            </w:pPr>
            <w:r>
              <w:rPr>
                <w:rFonts w:hint="eastAsia"/>
              </w:rPr>
              <w:t>4</w:t>
            </w:r>
          </w:p>
        </w:tc>
        <w:tc>
          <w:tcPr>
            <w:tcW w:w="1756" w:type="pct"/>
            <w:tcBorders>
              <w:top w:val="nil"/>
              <w:left w:val="nil"/>
              <w:bottom w:val="single" w:color="auto" w:sz="4" w:space="0"/>
              <w:right w:val="single" w:color="auto" w:sz="4" w:space="0"/>
            </w:tcBorders>
            <w:shd w:val="clear" w:color="auto" w:fill="auto"/>
            <w:noWrap/>
            <w:vAlign w:val="center"/>
          </w:tcPr>
          <w:p w14:paraId="2951E981">
            <w:pPr>
              <w:pStyle w:val="40"/>
            </w:pPr>
            <w:r>
              <w:rPr>
                <w:rFonts w:hint="eastAsia"/>
              </w:rPr>
              <w:t>煤</w:t>
            </w:r>
          </w:p>
        </w:tc>
        <w:tc>
          <w:tcPr>
            <w:tcW w:w="963" w:type="pct"/>
            <w:tcBorders>
              <w:top w:val="nil"/>
              <w:left w:val="nil"/>
              <w:bottom w:val="single" w:color="auto" w:sz="4" w:space="0"/>
              <w:right w:val="single" w:color="auto" w:sz="4" w:space="0"/>
            </w:tcBorders>
            <w:shd w:val="clear" w:color="auto" w:fill="auto"/>
            <w:noWrap/>
            <w:vAlign w:val="center"/>
          </w:tcPr>
          <w:p w14:paraId="3D4636E0">
            <w:pPr>
              <w:pStyle w:val="40"/>
            </w:pPr>
            <w:r>
              <w:rPr>
                <w:rFonts w:hint="eastAsia"/>
              </w:rPr>
              <w:t>1千克</w:t>
            </w:r>
          </w:p>
        </w:tc>
        <w:tc>
          <w:tcPr>
            <w:tcW w:w="1755" w:type="pct"/>
            <w:tcBorders>
              <w:top w:val="nil"/>
              <w:left w:val="nil"/>
              <w:bottom w:val="single" w:color="auto" w:sz="4" w:space="0"/>
              <w:right w:val="single" w:color="auto" w:sz="8" w:space="0"/>
            </w:tcBorders>
            <w:shd w:val="clear" w:color="auto" w:fill="auto"/>
            <w:noWrap/>
            <w:vAlign w:val="center"/>
          </w:tcPr>
          <w:p w14:paraId="31EBE47F">
            <w:pPr>
              <w:pStyle w:val="40"/>
            </w:pPr>
            <w:r>
              <w:rPr>
                <w:rFonts w:hint="eastAsia"/>
              </w:rPr>
              <w:t>0.7143千克</w:t>
            </w:r>
          </w:p>
        </w:tc>
      </w:tr>
      <w:tr w14:paraId="7E93A721">
        <w:tblPrEx>
          <w:tblCellMar>
            <w:top w:w="0" w:type="dxa"/>
            <w:left w:w="108" w:type="dxa"/>
            <w:bottom w:w="0" w:type="dxa"/>
            <w:right w:w="108" w:type="dxa"/>
          </w:tblCellMar>
        </w:tblPrEx>
        <w:trPr>
          <w:trHeight w:val="371" w:hRule="atLeast"/>
        </w:trPr>
        <w:tc>
          <w:tcPr>
            <w:tcW w:w="526" w:type="pct"/>
            <w:tcBorders>
              <w:top w:val="nil"/>
              <w:left w:val="single" w:color="auto" w:sz="8" w:space="0"/>
              <w:bottom w:val="single" w:color="auto" w:sz="4" w:space="0"/>
              <w:right w:val="single" w:color="auto" w:sz="4" w:space="0"/>
            </w:tcBorders>
            <w:shd w:val="clear" w:color="auto" w:fill="auto"/>
            <w:noWrap/>
            <w:vAlign w:val="center"/>
          </w:tcPr>
          <w:p w14:paraId="54F583C1">
            <w:pPr>
              <w:pStyle w:val="40"/>
            </w:pPr>
            <w:r>
              <w:rPr>
                <w:rFonts w:hint="eastAsia"/>
              </w:rPr>
              <w:t>5</w:t>
            </w:r>
          </w:p>
        </w:tc>
        <w:tc>
          <w:tcPr>
            <w:tcW w:w="1756" w:type="pct"/>
            <w:tcBorders>
              <w:top w:val="nil"/>
              <w:left w:val="nil"/>
              <w:bottom w:val="single" w:color="auto" w:sz="4" w:space="0"/>
              <w:right w:val="single" w:color="auto" w:sz="4" w:space="0"/>
            </w:tcBorders>
            <w:shd w:val="clear" w:color="auto" w:fill="auto"/>
            <w:noWrap/>
            <w:vAlign w:val="center"/>
          </w:tcPr>
          <w:p w14:paraId="3BB34BFF">
            <w:pPr>
              <w:pStyle w:val="40"/>
            </w:pPr>
            <w:r>
              <w:rPr>
                <w:rFonts w:hint="eastAsia"/>
              </w:rPr>
              <w:t>液化石油气</w:t>
            </w:r>
          </w:p>
        </w:tc>
        <w:tc>
          <w:tcPr>
            <w:tcW w:w="963" w:type="pct"/>
            <w:tcBorders>
              <w:top w:val="nil"/>
              <w:left w:val="nil"/>
              <w:bottom w:val="single" w:color="auto" w:sz="4" w:space="0"/>
              <w:right w:val="single" w:color="auto" w:sz="4" w:space="0"/>
            </w:tcBorders>
            <w:shd w:val="clear" w:color="auto" w:fill="auto"/>
            <w:noWrap/>
            <w:vAlign w:val="center"/>
          </w:tcPr>
          <w:p w14:paraId="23682806">
            <w:pPr>
              <w:pStyle w:val="40"/>
            </w:pPr>
            <w:r>
              <w:rPr>
                <w:rFonts w:hint="eastAsia"/>
              </w:rPr>
              <w:t>1千克</w:t>
            </w:r>
          </w:p>
        </w:tc>
        <w:tc>
          <w:tcPr>
            <w:tcW w:w="1755" w:type="pct"/>
            <w:tcBorders>
              <w:top w:val="nil"/>
              <w:left w:val="nil"/>
              <w:bottom w:val="single" w:color="auto" w:sz="4" w:space="0"/>
              <w:right w:val="single" w:color="auto" w:sz="8" w:space="0"/>
            </w:tcBorders>
            <w:shd w:val="clear" w:color="auto" w:fill="auto"/>
            <w:noWrap/>
            <w:vAlign w:val="center"/>
          </w:tcPr>
          <w:p w14:paraId="4D773151">
            <w:pPr>
              <w:pStyle w:val="40"/>
            </w:pPr>
            <w:r>
              <w:rPr>
                <w:rFonts w:hint="eastAsia"/>
              </w:rPr>
              <w:t>1.7572千克</w:t>
            </w:r>
          </w:p>
        </w:tc>
      </w:tr>
      <w:tr w14:paraId="07D9BFEB">
        <w:tblPrEx>
          <w:tblCellMar>
            <w:top w:w="0" w:type="dxa"/>
            <w:left w:w="108" w:type="dxa"/>
            <w:bottom w:w="0" w:type="dxa"/>
            <w:right w:w="108" w:type="dxa"/>
          </w:tblCellMar>
        </w:tblPrEx>
        <w:trPr>
          <w:trHeight w:val="371" w:hRule="atLeast"/>
        </w:trPr>
        <w:tc>
          <w:tcPr>
            <w:tcW w:w="526" w:type="pct"/>
            <w:tcBorders>
              <w:top w:val="nil"/>
              <w:left w:val="single" w:color="auto" w:sz="8" w:space="0"/>
              <w:bottom w:val="single" w:color="auto" w:sz="4" w:space="0"/>
              <w:right w:val="single" w:color="auto" w:sz="4" w:space="0"/>
            </w:tcBorders>
            <w:shd w:val="clear" w:color="auto" w:fill="auto"/>
            <w:noWrap/>
            <w:vAlign w:val="center"/>
          </w:tcPr>
          <w:p w14:paraId="2AC7E082">
            <w:pPr>
              <w:pStyle w:val="40"/>
            </w:pPr>
            <w:r>
              <w:rPr>
                <w:rFonts w:hint="eastAsia"/>
              </w:rPr>
              <w:t>6</w:t>
            </w:r>
          </w:p>
        </w:tc>
        <w:tc>
          <w:tcPr>
            <w:tcW w:w="1756" w:type="pct"/>
            <w:tcBorders>
              <w:top w:val="nil"/>
              <w:left w:val="nil"/>
              <w:bottom w:val="single" w:color="auto" w:sz="4" w:space="0"/>
              <w:right w:val="single" w:color="auto" w:sz="4" w:space="0"/>
            </w:tcBorders>
            <w:shd w:val="clear" w:color="auto" w:fill="auto"/>
            <w:noWrap/>
            <w:vAlign w:val="center"/>
          </w:tcPr>
          <w:p w14:paraId="422535FA">
            <w:pPr>
              <w:pStyle w:val="40"/>
            </w:pPr>
            <w:r>
              <w:rPr>
                <w:rFonts w:hint="eastAsia"/>
              </w:rPr>
              <w:t>汽油</w:t>
            </w:r>
          </w:p>
        </w:tc>
        <w:tc>
          <w:tcPr>
            <w:tcW w:w="963" w:type="pct"/>
            <w:tcBorders>
              <w:top w:val="nil"/>
              <w:left w:val="nil"/>
              <w:bottom w:val="single" w:color="auto" w:sz="4" w:space="0"/>
              <w:right w:val="single" w:color="auto" w:sz="4" w:space="0"/>
            </w:tcBorders>
            <w:shd w:val="clear" w:color="auto" w:fill="auto"/>
            <w:noWrap/>
            <w:vAlign w:val="center"/>
          </w:tcPr>
          <w:p w14:paraId="53CCCABD">
            <w:pPr>
              <w:pStyle w:val="40"/>
            </w:pPr>
            <w:r>
              <w:rPr>
                <w:rFonts w:hint="eastAsia"/>
              </w:rPr>
              <w:t>1千克</w:t>
            </w:r>
          </w:p>
        </w:tc>
        <w:tc>
          <w:tcPr>
            <w:tcW w:w="1755" w:type="pct"/>
            <w:tcBorders>
              <w:top w:val="nil"/>
              <w:left w:val="nil"/>
              <w:bottom w:val="single" w:color="auto" w:sz="4" w:space="0"/>
              <w:right w:val="single" w:color="auto" w:sz="8" w:space="0"/>
            </w:tcBorders>
            <w:shd w:val="clear" w:color="auto" w:fill="auto"/>
            <w:noWrap/>
            <w:vAlign w:val="center"/>
          </w:tcPr>
          <w:p w14:paraId="2E1217AB">
            <w:pPr>
              <w:pStyle w:val="40"/>
            </w:pPr>
            <w:r>
              <w:rPr>
                <w:rFonts w:hint="eastAsia"/>
              </w:rPr>
              <w:t>1.4714千克</w:t>
            </w:r>
          </w:p>
        </w:tc>
      </w:tr>
      <w:tr w14:paraId="11008F00">
        <w:tblPrEx>
          <w:tblCellMar>
            <w:top w:w="0" w:type="dxa"/>
            <w:left w:w="108" w:type="dxa"/>
            <w:bottom w:w="0" w:type="dxa"/>
            <w:right w:w="108" w:type="dxa"/>
          </w:tblCellMar>
        </w:tblPrEx>
        <w:trPr>
          <w:trHeight w:val="371" w:hRule="atLeast"/>
        </w:trPr>
        <w:tc>
          <w:tcPr>
            <w:tcW w:w="526" w:type="pct"/>
            <w:tcBorders>
              <w:top w:val="nil"/>
              <w:left w:val="single" w:color="auto" w:sz="8" w:space="0"/>
              <w:bottom w:val="single" w:color="auto" w:sz="4" w:space="0"/>
              <w:right w:val="single" w:color="auto" w:sz="4" w:space="0"/>
            </w:tcBorders>
            <w:shd w:val="clear" w:color="auto" w:fill="auto"/>
            <w:noWrap/>
            <w:vAlign w:val="center"/>
          </w:tcPr>
          <w:p w14:paraId="05CCC9B5">
            <w:pPr>
              <w:pStyle w:val="40"/>
            </w:pPr>
            <w:r>
              <w:rPr>
                <w:rFonts w:hint="eastAsia"/>
              </w:rPr>
              <w:t>7</w:t>
            </w:r>
          </w:p>
        </w:tc>
        <w:tc>
          <w:tcPr>
            <w:tcW w:w="1756" w:type="pct"/>
            <w:tcBorders>
              <w:top w:val="nil"/>
              <w:left w:val="nil"/>
              <w:bottom w:val="single" w:color="auto" w:sz="4" w:space="0"/>
              <w:right w:val="single" w:color="auto" w:sz="4" w:space="0"/>
            </w:tcBorders>
            <w:shd w:val="clear" w:color="auto" w:fill="auto"/>
            <w:noWrap/>
            <w:vAlign w:val="center"/>
          </w:tcPr>
          <w:p w14:paraId="4115EDC7">
            <w:pPr>
              <w:pStyle w:val="40"/>
            </w:pPr>
            <w:r>
              <w:rPr>
                <w:rFonts w:hint="eastAsia"/>
              </w:rPr>
              <w:t>煤油</w:t>
            </w:r>
          </w:p>
        </w:tc>
        <w:tc>
          <w:tcPr>
            <w:tcW w:w="963" w:type="pct"/>
            <w:tcBorders>
              <w:top w:val="nil"/>
              <w:left w:val="nil"/>
              <w:bottom w:val="single" w:color="auto" w:sz="4" w:space="0"/>
              <w:right w:val="single" w:color="auto" w:sz="4" w:space="0"/>
            </w:tcBorders>
            <w:shd w:val="clear" w:color="auto" w:fill="auto"/>
            <w:noWrap/>
            <w:vAlign w:val="center"/>
          </w:tcPr>
          <w:p w14:paraId="5927AD3A">
            <w:pPr>
              <w:pStyle w:val="40"/>
            </w:pPr>
            <w:r>
              <w:rPr>
                <w:rFonts w:hint="eastAsia"/>
              </w:rPr>
              <w:t>1千克</w:t>
            </w:r>
          </w:p>
        </w:tc>
        <w:tc>
          <w:tcPr>
            <w:tcW w:w="1755" w:type="pct"/>
            <w:tcBorders>
              <w:top w:val="nil"/>
              <w:left w:val="nil"/>
              <w:bottom w:val="single" w:color="auto" w:sz="4" w:space="0"/>
              <w:right w:val="single" w:color="auto" w:sz="8" w:space="0"/>
            </w:tcBorders>
            <w:shd w:val="clear" w:color="auto" w:fill="auto"/>
            <w:noWrap/>
            <w:vAlign w:val="center"/>
          </w:tcPr>
          <w:p w14:paraId="3883C98D">
            <w:pPr>
              <w:pStyle w:val="40"/>
            </w:pPr>
            <w:r>
              <w:rPr>
                <w:rFonts w:hint="eastAsia"/>
              </w:rPr>
              <w:t>1.4714千克</w:t>
            </w:r>
          </w:p>
        </w:tc>
      </w:tr>
      <w:tr w14:paraId="71681956">
        <w:tblPrEx>
          <w:tblCellMar>
            <w:top w:w="0" w:type="dxa"/>
            <w:left w:w="108" w:type="dxa"/>
            <w:bottom w:w="0" w:type="dxa"/>
            <w:right w:w="108" w:type="dxa"/>
          </w:tblCellMar>
        </w:tblPrEx>
        <w:trPr>
          <w:trHeight w:val="371" w:hRule="atLeast"/>
        </w:trPr>
        <w:tc>
          <w:tcPr>
            <w:tcW w:w="526" w:type="pct"/>
            <w:tcBorders>
              <w:top w:val="nil"/>
              <w:left w:val="single" w:color="auto" w:sz="8" w:space="0"/>
              <w:bottom w:val="single" w:color="auto" w:sz="4" w:space="0"/>
              <w:right w:val="single" w:color="auto" w:sz="4" w:space="0"/>
            </w:tcBorders>
            <w:shd w:val="clear" w:color="auto" w:fill="auto"/>
            <w:noWrap/>
            <w:vAlign w:val="center"/>
          </w:tcPr>
          <w:p w14:paraId="737D3D82">
            <w:pPr>
              <w:pStyle w:val="40"/>
            </w:pPr>
            <w:r>
              <w:rPr>
                <w:rFonts w:hint="eastAsia"/>
              </w:rPr>
              <w:t>8</w:t>
            </w:r>
          </w:p>
        </w:tc>
        <w:tc>
          <w:tcPr>
            <w:tcW w:w="1756" w:type="pct"/>
            <w:tcBorders>
              <w:top w:val="nil"/>
              <w:left w:val="nil"/>
              <w:bottom w:val="single" w:color="auto" w:sz="4" w:space="0"/>
              <w:right w:val="single" w:color="auto" w:sz="4" w:space="0"/>
            </w:tcBorders>
            <w:shd w:val="clear" w:color="auto" w:fill="auto"/>
            <w:noWrap/>
            <w:vAlign w:val="center"/>
          </w:tcPr>
          <w:p w14:paraId="1EA8EF46">
            <w:pPr>
              <w:pStyle w:val="40"/>
            </w:pPr>
            <w:r>
              <w:rPr>
                <w:rFonts w:hint="eastAsia"/>
              </w:rPr>
              <w:t>柴油</w:t>
            </w:r>
          </w:p>
        </w:tc>
        <w:tc>
          <w:tcPr>
            <w:tcW w:w="963" w:type="pct"/>
            <w:tcBorders>
              <w:top w:val="nil"/>
              <w:left w:val="nil"/>
              <w:bottom w:val="single" w:color="auto" w:sz="4" w:space="0"/>
              <w:right w:val="single" w:color="auto" w:sz="4" w:space="0"/>
            </w:tcBorders>
            <w:shd w:val="clear" w:color="auto" w:fill="auto"/>
            <w:noWrap/>
            <w:vAlign w:val="center"/>
          </w:tcPr>
          <w:p w14:paraId="3B27D9CD">
            <w:pPr>
              <w:pStyle w:val="40"/>
            </w:pPr>
            <w:r>
              <w:rPr>
                <w:rFonts w:hint="eastAsia"/>
              </w:rPr>
              <w:t>1千克</w:t>
            </w:r>
          </w:p>
        </w:tc>
        <w:tc>
          <w:tcPr>
            <w:tcW w:w="1755" w:type="pct"/>
            <w:tcBorders>
              <w:top w:val="nil"/>
              <w:left w:val="nil"/>
              <w:bottom w:val="single" w:color="auto" w:sz="4" w:space="0"/>
              <w:right w:val="single" w:color="auto" w:sz="8" w:space="0"/>
            </w:tcBorders>
            <w:shd w:val="clear" w:color="auto" w:fill="auto"/>
            <w:noWrap/>
            <w:vAlign w:val="center"/>
          </w:tcPr>
          <w:p w14:paraId="2AC8D91C">
            <w:pPr>
              <w:pStyle w:val="40"/>
            </w:pPr>
            <w:r>
              <w:rPr>
                <w:rFonts w:hint="eastAsia"/>
              </w:rPr>
              <w:t>1.4571千克</w:t>
            </w:r>
          </w:p>
        </w:tc>
      </w:tr>
      <w:tr w14:paraId="7B558CA1">
        <w:tblPrEx>
          <w:tblCellMar>
            <w:top w:w="0" w:type="dxa"/>
            <w:left w:w="108" w:type="dxa"/>
            <w:bottom w:w="0" w:type="dxa"/>
            <w:right w:w="108" w:type="dxa"/>
          </w:tblCellMar>
        </w:tblPrEx>
        <w:trPr>
          <w:trHeight w:val="371" w:hRule="atLeast"/>
        </w:trPr>
        <w:tc>
          <w:tcPr>
            <w:tcW w:w="526" w:type="pct"/>
            <w:tcBorders>
              <w:top w:val="nil"/>
              <w:left w:val="single" w:color="auto" w:sz="8" w:space="0"/>
              <w:bottom w:val="single" w:color="auto" w:sz="8" w:space="0"/>
              <w:right w:val="single" w:color="auto" w:sz="4" w:space="0"/>
            </w:tcBorders>
            <w:shd w:val="clear" w:color="auto" w:fill="auto"/>
            <w:noWrap/>
            <w:vAlign w:val="center"/>
          </w:tcPr>
          <w:p w14:paraId="074BF6A3">
            <w:pPr>
              <w:pStyle w:val="40"/>
            </w:pPr>
            <w:r>
              <w:rPr>
                <w:rFonts w:hint="eastAsia"/>
              </w:rPr>
              <w:t>9</w:t>
            </w:r>
          </w:p>
        </w:tc>
        <w:tc>
          <w:tcPr>
            <w:tcW w:w="1756" w:type="pct"/>
            <w:tcBorders>
              <w:top w:val="nil"/>
              <w:left w:val="nil"/>
              <w:bottom w:val="single" w:color="auto" w:sz="8" w:space="0"/>
              <w:right w:val="single" w:color="auto" w:sz="4" w:space="0"/>
            </w:tcBorders>
            <w:shd w:val="clear" w:color="auto" w:fill="auto"/>
            <w:noWrap/>
            <w:vAlign w:val="center"/>
          </w:tcPr>
          <w:p w14:paraId="51722B61">
            <w:pPr>
              <w:pStyle w:val="40"/>
            </w:pPr>
            <w:r>
              <w:rPr>
                <w:rFonts w:hint="eastAsia"/>
              </w:rPr>
              <w:t>集中供热量</w:t>
            </w:r>
          </w:p>
        </w:tc>
        <w:tc>
          <w:tcPr>
            <w:tcW w:w="963" w:type="pct"/>
            <w:tcBorders>
              <w:top w:val="nil"/>
              <w:left w:val="nil"/>
              <w:bottom w:val="single" w:color="auto" w:sz="8" w:space="0"/>
              <w:right w:val="single" w:color="auto" w:sz="4" w:space="0"/>
            </w:tcBorders>
            <w:shd w:val="clear" w:color="auto" w:fill="auto"/>
            <w:noWrap/>
            <w:vAlign w:val="center"/>
          </w:tcPr>
          <w:p w14:paraId="403E7DE9">
            <w:pPr>
              <w:pStyle w:val="40"/>
            </w:pPr>
            <w:r>
              <w:rPr>
                <w:rFonts w:hint="eastAsia"/>
              </w:rPr>
              <w:t>1百千焦</w:t>
            </w:r>
          </w:p>
        </w:tc>
        <w:tc>
          <w:tcPr>
            <w:tcW w:w="1755" w:type="pct"/>
            <w:tcBorders>
              <w:top w:val="nil"/>
              <w:left w:val="nil"/>
              <w:bottom w:val="single" w:color="auto" w:sz="8" w:space="0"/>
              <w:right w:val="single" w:color="auto" w:sz="8" w:space="0"/>
            </w:tcBorders>
            <w:shd w:val="clear" w:color="auto" w:fill="auto"/>
            <w:noWrap/>
            <w:vAlign w:val="center"/>
          </w:tcPr>
          <w:p w14:paraId="7636154E">
            <w:pPr>
              <w:pStyle w:val="40"/>
            </w:pPr>
            <w:r>
              <w:rPr>
                <w:rFonts w:hint="eastAsia"/>
              </w:rPr>
              <w:t>0.3410千克</w:t>
            </w:r>
          </w:p>
        </w:tc>
      </w:tr>
    </w:tbl>
    <w:p w14:paraId="27582739">
      <w:pPr>
        <w:spacing w:line="400" w:lineRule="exact"/>
      </w:pPr>
      <w:r>
        <w:rPr>
          <w:rFonts w:hint="eastAsia"/>
        </w:rPr>
        <w:t>由于本研究仅有沈阳市农村居民用电数据，仍缺少农村生物质能、天然气、液化石油气与煤炭的使用情况数据，本研究基于农村居住建筑电耗占农村居住建筑总能耗占比的假设，推算沈阳市农村居住建筑总能耗，并将此部分建筑能耗计入一次能源消耗。</w:t>
      </w:r>
    </w:p>
    <w:p w14:paraId="06A8A1DA">
      <w:pPr>
        <w:pStyle w:val="61"/>
        <w:ind w:firstLine="0"/>
      </w:pPr>
      <w:r>
        <w:rPr>
          <w:rFonts w:hint="eastAsia"/>
        </w:rPr>
        <w:t>2</w:t>
      </w:r>
      <w:r>
        <w:t xml:space="preserve">.4 </w:t>
      </w:r>
      <w:r>
        <w:rPr>
          <w:rFonts w:hint="eastAsia"/>
        </w:rPr>
        <w:t>建筑能耗预测</w:t>
      </w:r>
    </w:p>
    <w:p w14:paraId="7B3DF976">
      <w:r>
        <w:rPr>
          <w:rFonts w:hint="eastAsia"/>
        </w:rPr>
        <w:t>基于以上历史数据测算，综合考虑人口结构、沈阳市城镇化率、G</w:t>
      </w:r>
      <w:r>
        <w:t>DP</w:t>
      </w:r>
      <w:r>
        <w:rPr>
          <w:rFonts w:hint="eastAsia"/>
        </w:rPr>
        <w:t>增长等因素，根据本规划对建筑节能目标的设定，综合考虑新建建筑能效提升、超低能耗建筑试点、既有居住建筑节能改造、可再生能源应用等措施的节能效果， 通过回归分析对沈阳市十四五期间的建筑能耗进行预测，同时根据用途和地点的差异，将建筑能耗分为公共建筑、城镇居住建筑和农村居住建筑三种类型，结果如下：</w:t>
      </w:r>
    </w:p>
    <w:p w14:paraId="1D81E5AD">
      <w:r>
        <w:rPr>
          <w:rFonts w:hint="eastAsia"/>
        </w:rPr>
        <w:t>表</w:t>
      </w:r>
      <w:r>
        <w:t xml:space="preserve">8-5 </w:t>
      </w:r>
      <w:r>
        <w:rPr>
          <w:rFonts w:hint="eastAsia"/>
        </w:rPr>
        <w:t>沈阳市建筑能耗测算与预测结果（单位：万吨标准煤）</w:t>
      </w:r>
    </w:p>
    <w:tbl>
      <w:tblPr>
        <w:tblStyle w:val="20"/>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84"/>
        <w:gridCol w:w="1084"/>
        <w:gridCol w:w="1084"/>
        <w:gridCol w:w="1084"/>
        <w:gridCol w:w="1084"/>
        <w:gridCol w:w="1084"/>
        <w:gridCol w:w="1084"/>
        <w:gridCol w:w="1085"/>
      </w:tblGrid>
      <w:tr w14:paraId="013D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jc w:val="center"/>
        </w:trPr>
        <w:tc>
          <w:tcPr>
            <w:tcW w:w="562" w:type="dxa"/>
            <w:shd w:val="clear" w:color="auto" w:fill="auto"/>
            <w:noWrap/>
            <w:vAlign w:val="bottom"/>
          </w:tcPr>
          <w:p w14:paraId="06F82D8F">
            <w:pPr>
              <w:pStyle w:val="40"/>
            </w:pPr>
            <w:r>
              <w:rPr>
                <w:rFonts w:hint="eastAsia"/>
              </w:rPr>
              <w:t>　</w:t>
            </w:r>
          </w:p>
        </w:tc>
        <w:tc>
          <w:tcPr>
            <w:tcW w:w="1084" w:type="dxa"/>
            <w:shd w:val="clear" w:color="auto" w:fill="auto"/>
            <w:noWrap/>
            <w:vAlign w:val="center"/>
          </w:tcPr>
          <w:p w14:paraId="33E35E33">
            <w:pPr>
              <w:pStyle w:val="40"/>
            </w:pPr>
            <w:r>
              <w:rPr>
                <w:rFonts w:hint="eastAsia"/>
              </w:rPr>
              <w:t>年份</w:t>
            </w:r>
          </w:p>
        </w:tc>
        <w:tc>
          <w:tcPr>
            <w:tcW w:w="1084" w:type="dxa"/>
            <w:shd w:val="clear" w:color="auto" w:fill="auto"/>
            <w:noWrap/>
            <w:vAlign w:val="center"/>
          </w:tcPr>
          <w:p w14:paraId="1C92B6F1">
            <w:pPr>
              <w:pStyle w:val="40"/>
            </w:pPr>
            <w:r>
              <w:rPr>
                <w:rFonts w:hint="eastAsia"/>
              </w:rPr>
              <w:t>总能耗</w:t>
            </w:r>
          </w:p>
        </w:tc>
        <w:tc>
          <w:tcPr>
            <w:tcW w:w="1084" w:type="dxa"/>
            <w:shd w:val="clear" w:color="auto" w:fill="auto"/>
            <w:noWrap/>
            <w:vAlign w:val="center"/>
          </w:tcPr>
          <w:p w14:paraId="691F767B">
            <w:pPr>
              <w:pStyle w:val="40"/>
            </w:pPr>
            <w:r>
              <w:rPr>
                <w:rFonts w:hint="eastAsia"/>
              </w:rPr>
              <w:t>公共</w:t>
            </w:r>
          </w:p>
          <w:p w14:paraId="39BA8424">
            <w:pPr>
              <w:pStyle w:val="40"/>
            </w:pPr>
            <w:r>
              <w:rPr>
                <w:rFonts w:hint="eastAsia"/>
              </w:rPr>
              <w:t>建筑</w:t>
            </w:r>
          </w:p>
        </w:tc>
        <w:tc>
          <w:tcPr>
            <w:tcW w:w="1084" w:type="dxa"/>
            <w:shd w:val="clear" w:color="auto" w:fill="auto"/>
            <w:noWrap/>
            <w:vAlign w:val="center"/>
          </w:tcPr>
          <w:p w14:paraId="173678A0">
            <w:pPr>
              <w:pStyle w:val="40"/>
            </w:pPr>
            <w:r>
              <w:rPr>
                <w:rFonts w:hint="eastAsia"/>
              </w:rPr>
              <w:t>城镇</w:t>
            </w:r>
          </w:p>
          <w:p w14:paraId="40D4A231">
            <w:pPr>
              <w:pStyle w:val="40"/>
            </w:pPr>
            <w:r>
              <w:rPr>
                <w:rFonts w:hint="eastAsia"/>
              </w:rPr>
              <w:t>居建</w:t>
            </w:r>
          </w:p>
        </w:tc>
        <w:tc>
          <w:tcPr>
            <w:tcW w:w="1084" w:type="dxa"/>
            <w:shd w:val="clear" w:color="auto" w:fill="auto"/>
            <w:noWrap/>
            <w:vAlign w:val="center"/>
          </w:tcPr>
          <w:p w14:paraId="569CFDD8">
            <w:pPr>
              <w:pStyle w:val="40"/>
            </w:pPr>
            <w:r>
              <w:rPr>
                <w:rFonts w:hint="eastAsia"/>
              </w:rPr>
              <w:t>农村</w:t>
            </w:r>
          </w:p>
          <w:p w14:paraId="7BE6D14C">
            <w:pPr>
              <w:pStyle w:val="40"/>
            </w:pPr>
            <w:r>
              <w:rPr>
                <w:rFonts w:hint="eastAsia"/>
              </w:rPr>
              <w:t>居建</w:t>
            </w:r>
          </w:p>
        </w:tc>
        <w:tc>
          <w:tcPr>
            <w:tcW w:w="1084" w:type="dxa"/>
            <w:shd w:val="clear" w:color="auto" w:fill="auto"/>
            <w:noWrap/>
            <w:vAlign w:val="center"/>
          </w:tcPr>
          <w:p w14:paraId="74EA3E25">
            <w:pPr>
              <w:pStyle w:val="40"/>
            </w:pPr>
            <w:r>
              <w:rPr>
                <w:rFonts w:hint="eastAsia"/>
              </w:rPr>
              <w:t>其他</w:t>
            </w:r>
          </w:p>
          <w:p w14:paraId="7D568884">
            <w:pPr>
              <w:pStyle w:val="40"/>
            </w:pPr>
            <w:r>
              <w:rPr>
                <w:rFonts w:hint="eastAsia"/>
              </w:rPr>
              <w:t>能耗</w:t>
            </w:r>
          </w:p>
        </w:tc>
        <w:tc>
          <w:tcPr>
            <w:tcW w:w="1084" w:type="dxa"/>
            <w:shd w:val="clear" w:color="auto" w:fill="auto"/>
            <w:noWrap/>
            <w:vAlign w:val="center"/>
          </w:tcPr>
          <w:p w14:paraId="5CB2FEBF">
            <w:pPr>
              <w:pStyle w:val="40"/>
            </w:pPr>
            <w:r>
              <w:rPr>
                <w:rFonts w:hint="eastAsia"/>
              </w:rPr>
              <w:t>建筑</w:t>
            </w:r>
          </w:p>
          <w:p w14:paraId="34F97EFF">
            <w:pPr>
              <w:pStyle w:val="40"/>
            </w:pPr>
            <w:r>
              <w:rPr>
                <w:rFonts w:hint="eastAsia"/>
              </w:rPr>
              <w:t>电耗</w:t>
            </w:r>
          </w:p>
        </w:tc>
        <w:tc>
          <w:tcPr>
            <w:tcW w:w="1085" w:type="dxa"/>
            <w:shd w:val="clear" w:color="auto" w:fill="auto"/>
            <w:noWrap/>
            <w:vAlign w:val="center"/>
          </w:tcPr>
          <w:p w14:paraId="7B6A3AE1">
            <w:pPr>
              <w:pStyle w:val="40"/>
            </w:pPr>
            <w:r>
              <w:rPr>
                <w:rFonts w:hint="eastAsia"/>
              </w:rPr>
              <w:t>采暖</w:t>
            </w:r>
          </w:p>
          <w:p w14:paraId="03A64473">
            <w:pPr>
              <w:pStyle w:val="40"/>
            </w:pPr>
            <w:r>
              <w:rPr>
                <w:rFonts w:hint="eastAsia"/>
              </w:rPr>
              <w:t>能耗</w:t>
            </w:r>
          </w:p>
        </w:tc>
      </w:tr>
      <w:tr w14:paraId="203B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restart"/>
            <w:shd w:val="clear" w:color="auto" w:fill="auto"/>
            <w:noWrap/>
            <w:vAlign w:val="center"/>
          </w:tcPr>
          <w:p w14:paraId="2C35FB83">
            <w:pPr>
              <w:pStyle w:val="40"/>
            </w:pPr>
            <w:r>
              <w:rPr>
                <w:rFonts w:hint="eastAsia"/>
              </w:rPr>
              <w:t>历史数据</w:t>
            </w:r>
          </w:p>
        </w:tc>
        <w:tc>
          <w:tcPr>
            <w:tcW w:w="1084" w:type="dxa"/>
            <w:shd w:val="clear" w:color="auto" w:fill="auto"/>
            <w:noWrap/>
            <w:vAlign w:val="bottom"/>
          </w:tcPr>
          <w:p w14:paraId="376F4C95">
            <w:pPr>
              <w:pStyle w:val="40"/>
            </w:pPr>
            <w:r>
              <w:rPr>
                <w:rFonts w:hint="eastAsia"/>
              </w:rPr>
              <w:t>2010</w:t>
            </w:r>
          </w:p>
        </w:tc>
        <w:tc>
          <w:tcPr>
            <w:tcW w:w="1084" w:type="dxa"/>
            <w:shd w:val="clear" w:color="auto" w:fill="auto"/>
            <w:noWrap/>
            <w:vAlign w:val="bottom"/>
          </w:tcPr>
          <w:p w14:paraId="435F5864">
            <w:pPr>
              <w:pStyle w:val="40"/>
            </w:pPr>
            <w:r>
              <w:rPr>
                <w:rFonts w:hint="eastAsia"/>
              </w:rPr>
              <w:t>842</w:t>
            </w:r>
          </w:p>
        </w:tc>
        <w:tc>
          <w:tcPr>
            <w:tcW w:w="1084" w:type="dxa"/>
            <w:shd w:val="clear" w:color="auto" w:fill="auto"/>
            <w:noWrap/>
            <w:vAlign w:val="bottom"/>
          </w:tcPr>
          <w:p w14:paraId="0DCF05FC">
            <w:pPr>
              <w:pStyle w:val="40"/>
            </w:pPr>
            <w:r>
              <w:rPr>
                <w:rFonts w:hint="eastAsia"/>
              </w:rPr>
              <w:t>283</w:t>
            </w:r>
          </w:p>
        </w:tc>
        <w:tc>
          <w:tcPr>
            <w:tcW w:w="1084" w:type="dxa"/>
            <w:shd w:val="clear" w:color="auto" w:fill="auto"/>
            <w:noWrap/>
            <w:vAlign w:val="bottom"/>
          </w:tcPr>
          <w:p w14:paraId="4D948847">
            <w:pPr>
              <w:pStyle w:val="40"/>
            </w:pPr>
            <w:r>
              <w:rPr>
                <w:rFonts w:hint="eastAsia"/>
              </w:rPr>
              <w:t>464</w:t>
            </w:r>
          </w:p>
        </w:tc>
        <w:tc>
          <w:tcPr>
            <w:tcW w:w="1084" w:type="dxa"/>
            <w:shd w:val="clear" w:color="auto" w:fill="auto"/>
            <w:noWrap/>
            <w:vAlign w:val="bottom"/>
          </w:tcPr>
          <w:p w14:paraId="7408DE01">
            <w:pPr>
              <w:pStyle w:val="40"/>
            </w:pPr>
            <w:r>
              <w:rPr>
                <w:rFonts w:hint="eastAsia"/>
              </w:rPr>
              <w:t>95</w:t>
            </w:r>
          </w:p>
        </w:tc>
        <w:tc>
          <w:tcPr>
            <w:tcW w:w="1084" w:type="dxa"/>
            <w:shd w:val="clear" w:color="auto" w:fill="auto"/>
            <w:noWrap/>
            <w:vAlign w:val="bottom"/>
          </w:tcPr>
          <w:p w14:paraId="20A5349D">
            <w:pPr>
              <w:pStyle w:val="40"/>
            </w:pPr>
            <w:r>
              <w:rPr>
                <w:rFonts w:hint="eastAsia"/>
              </w:rPr>
              <w:t>90</w:t>
            </w:r>
          </w:p>
        </w:tc>
        <w:tc>
          <w:tcPr>
            <w:tcW w:w="1084" w:type="dxa"/>
            <w:shd w:val="clear" w:color="auto" w:fill="auto"/>
            <w:noWrap/>
            <w:vAlign w:val="bottom"/>
          </w:tcPr>
          <w:p w14:paraId="5E3D7BD3">
            <w:pPr>
              <w:pStyle w:val="40"/>
            </w:pPr>
            <w:r>
              <w:rPr>
                <w:rFonts w:hint="eastAsia"/>
              </w:rPr>
              <w:t>354</w:t>
            </w:r>
          </w:p>
        </w:tc>
        <w:tc>
          <w:tcPr>
            <w:tcW w:w="1085" w:type="dxa"/>
            <w:shd w:val="clear" w:color="auto" w:fill="auto"/>
            <w:noWrap/>
            <w:vAlign w:val="bottom"/>
          </w:tcPr>
          <w:p w14:paraId="09BBBAAA">
            <w:pPr>
              <w:pStyle w:val="40"/>
            </w:pPr>
            <w:r>
              <w:rPr>
                <w:rFonts w:hint="eastAsia"/>
              </w:rPr>
              <w:t>398</w:t>
            </w:r>
          </w:p>
        </w:tc>
      </w:tr>
      <w:tr w14:paraId="13E8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3511F347">
            <w:pPr>
              <w:pStyle w:val="40"/>
            </w:pPr>
          </w:p>
        </w:tc>
        <w:tc>
          <w:tcPr>
            <w:tcW w:w="1084" w:type="dxa"/>
            <w:shd w:val="clear" w:color="auto" w:fill="auto"/>
            <w:noWrap/>
            <w:vAlign w:val="bottom"/>
          </w:tcPr>
          <w:p w14:paraId="447B92D4">
            <w:pPr>
              <w:pStyle w:val="40"/>
            </w:pPr>
            <w:r>
              <w:rPr>
                <w:rFonts w:hint="eastAsia"/>
              </w:rPr>
              <w:t>2011</w:t>
            </w:r>
          </w:p>
        </w:tc>
        <w:tc>
          <w:tcPr>
            <w:tcW w:w="1084" w:type="dxa"/>
            <w:shd w:val="clear" w:color="auto" w:fill="auto"/>
            <w:noWrap/>
            <w:vAlign w:val="bottom"/>
          </w:tcPr>
          <w:p w14:paraId="46B74D16">
            <w:pPr>
              <w:pStyle w:val="40"/>
            </w:pPr>
            <w:r>
              <w:rPr>
                <w:rFonts w:hint="eastAsia"/>
              </w:rPr>
              <w:t>835</w:t>
            </w:r>
          </w:p>
        </w:tc>
        <w:tc>
          <w:tcPr>
            <w:tcW w:w="1084" w:type="dxa"/>
            <w:shd w:val="clear" w:color="auto" w:fill="auto"/>
            <w:noWrap/>
            <w:vAlign w:val="bottom"/>
          </w:tcPr>
          <w:p w14:paraId="0E8D4246">
            <w:pPr>
              <w:pStyle w:val="40"/>
            </w:pPr>
            <w:r>
              <w:rPr>
                <w:rFonts w:hint="eastAsia"/>
              </w:rPr>
              <w:t>280</w:t>
            </w:r>
          </w:p>
        </w:tc>
        <w:tc>
          <w:tcPr>
            <w:tcW w:w="1084" w:type="dxa"/>
            <w:shd w:val="clear" w:color="auto" w:fill="auto"/>
            <w:noWrap/>
            <w:vAlign w:val="bottom"/>
          </w:tcPr>
          <w:p w14:paraId="0414B8E9">
            <w:pPr>
              <w:pStyle w:val="40"/>
            </w:pPr>
            <w:r>
              <w:rPr>
                <w:rFonts w:hint="eastAsia"/>
              </w:rPr>
              <w:t>458</w:t>
            </w:r>
          </w:p>
        </w:tc>
        <w:tc>
          <w:tcPr>
            <w:tcW w:w="1084" w:type="dxa"/>
            <w:shd w:val="clear" w:color="auto" w:fill="auto"/>
            <w:noWrap/>
            <w:vAlign w:val="bottom"/>
          </w:tcPr>
          <w:p w14:paraId="0936EA50">
            <w:pPr>
              <w:pStyle w:val="40"/>
            </w:pPr>
            <w:r>
              <w:rPr>
                <w:rFonts w:hint="eastAsia"/>
              </w:rPr>
              <w:t>97</w:t>
            </w:r>
          </w:p>
        </w:tc>
        <w:tc>
          <w:tcPr>
            <w:tcW w:w="1084" w:type="dxa"/>
            <w:shd w:val="clear" w:color="auto" w:fill="auto"/>
            <w:noWrap/>
            <w:vAlign w:val="bottom"/>
          </w:tcPr>
          <w:p w14:paraId="109251C9">
            <w:pPr>
              <w:pStyle w:val="40"/>
            </w:pPr>
            <w:r>
              <w:rPr>
                <w:rFonts w:hint="eastAsia"/>
              </w:rPr>
              <w:t>94</w:t>
            </w:r>
          </w:p>
        </w:tc>
        <w:tc>
          <w:tcPr>
            <w:tcW w:w="1084" w:type="dxa"/>
            <w:shd w:val="clear" w:color="auto" w:fill="auto"/>
            <w:noWrap/>
            <w:vAlign w:val="bottom"/>
          </w:tcPr>
          <w:p w14:paraId="24D116D1">
            <w:pPr>
              <w:pStyle w:val="40"/>
            </w:pPr>
            <w:r>
              <w:rPr>
                <w:rFonts w:hint="eastAsia"/>
              </w:rPr>
              <w:t>383</w:t>
            </w:r>
          </w:p>
        </w:tc>
        <w:tc>
          <w:tcPr>
            <w:tcW w:w="1085" w:type="dxa"/>
            <w:shd w:val="clear" w:color="auto" w:fill="auto"/>
            <w:noWrap/>
            <w:vAlign w:val="bottom"/>
          </w:tcPr>
          <w:p w14:paraId="2E89045B">
            <w:pPr>
              <w:pStyle w:val="40"/>
            </w:pPr>
            <w:r>
              <w:rPr>
                <w:rFonts w:hint="eastAsia"/>
              </w:rPr>
              <w:t>358</w:t>
            </w:r>
          </w:p>
        </w:tc>
      </w:tr>
      <w:tr w14:paraId="7275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2FED1B59">
            <w:pPr>
              <w:pStyle w:val="40"/>
            </w:pPr>
          </w:p>
        </w:tc>
        <w:tc>
          <w:tcPr>
            <w:tcW w:w="1084" w:type="dxa"/>
            <w:shd w:val="clear" w:color="auto" w:fill="auto"/>
            <w:noWrap/>
            <w:vAlign w:val="bottom"/>
          </w:tcPr>
          <w:p w14:paraId="20EC9C45">
            <w:pPr>
              <w:pStyle w:val="40"/>
            </w:pPr>
            <w:r>
              <w:rPr>
                <w:rFonts w:hint="eastAsia"/>
              </w:rPr>
              <w:t>2012</w:t>
            </w:r>
          </w:p>
        </w:tc>
        <w:tc>
          <w:tcPr>
            <w:tcW w:w="1084" w:type="dxa"/>
            <w:shd w:val="clear" w:color="auto" w:fill="auto"/>
            <w:noWrap/>
            <w:vAlign w:val="bottom"/>
          </w:tcPr>
          <w:p w14:paraId="778B34A8">
            <w:pPr>
              <w:pStyle w:val="40"/>
            </w:pPr>
            <w:r>
              <w:rPr>
                <w:rFonts w:hint="eastAsia"/>
              </w:rPr>
              <w:t>963</w:t>
            </w:r>
          </w:p>
        </w:tc>
        <w:tc>
          <w:tcPr>
            <w:tcW w:w="1084" w:type="dxa"/>
            <w:shd w:val="clear" w:color="auto" w:fill="auto"/>
            <w:noWrap/>
            <w:vAlign w:val="bottom"/>
          </w:tcPr>
          <w:p w14:paraId="2497D98F">
            <w:pPr>
              <w:pStyle w:val="40"/>
            </w:pPr>
            <w:r>
              <w:rPr>
                <w:rFonts w:hint="eastAsia"/>
              </w:rPr>
              <w:t>328</w:t>
            </w:r>
          </w:p>
        </w:tc>
        <w:tc>
          <w:tcPr>
            <w:tcW w:w="1084" w:type="dxa"/>
            <w:shd w:val="clear" w:color="auto" w:fill="auto"/>
            <w:noWrap/>
            <w:vAlign w:val="bottom"/>
          </w:tcPr>
          <w:p w14:paraId="2919C8A7">
            <w:pPr>
              <w:pStyle w:val="40"/>
            </w:pPr>
            <w:r>
              <w:rPr>
                <w:rFonts w:hint="eastAsia"/>
              </w:rPr>
              <w:t>537</w:t>
            </w:r>
          </w:p>
        </w:tc>
        <w:tc>
          <w:tcPr>
            <w:tcW w:w="1084" w:type="dxa"/>
            <w:shd w:val="clear" w:color="auto" w:fill="auto"/>
            <w:noWrap/>
            <w:vAlign w:val="bottom"/>
          </w:tcPr>
          <w:p w14:paraId="4212907A">
            <w:pPr>
              <w:pStyle w:val="40"/>
            </w:pPr>
            <w:r>
              <w:rPr>
                <w:rFonts w:hint="eastAsia"/>
              </w:rPr>
              <w:t>99</w:t>
            </w:r>
          </w:p>
        </w:tc>
        <w:tc>
          <w:tcPr>
            <w:tcW w:w="1084" w:type="dxa"/>
            <w:shd w:val="clear" w:color="auto" w:fill="auto"/>
            <w:noWrap/>
            <w:vAlign w:val="bottom"/>
          </w:tcPr>
          <w:p w14:paraId="17725591">
            <w:pPr>
              <w:pStyle w:val="40"/>
            </w:pPr>
            <w:r>
              <w:rPr>
                <w:rFonts w:hint="eastAsia"/>
              </w:rPr>
              <w:t>95</w:t>
            </w:r>
          </w:p>
        </w:tc>
        <w:tc>
          <w:tcPr>
            <w:tcW w:w="1084" w:type="dxa"/>
            <w:shd w:val="clear" w:color="auto" w:fill="auto"/>
            <w:noWrap/>
            <w:vAlign w:val="bottom"/>
          </w:tcPr>
          <w:p w14:paraId="3ECD98AA">
            <w:pPr>
              <w:pStyle w:val="40"/>
            </w:pPr>
            <w:r>
              <w:rPr>
                <w:rFonts w:hint="eastAsia"/>
              </w:rPr>
              <w:t>414</w:t>
            </w:r>
          </w:p>
        </w:tc>
        <w:tc>
          <w:tcPr>
            <w:tcW w:w="1085" w:type="dxa"/>
            <w:shd w:val="clear" w:color="auto" w:fill="auto"/>
            <w:noWrap/>
            <w:vAlign w:val="bottom"/>
          </w:tcPr>
          <w:p w14:paraId="78F04C5C">
            <w:pPr>
              <w:pStyle w:val="40"/>
            </w:pPr>
            <w:r>
              <w:rPr>
                <w:rFonts w:hint="eastAsia"/>
              </w:rPr>
              <w:t>454</w:t>
            </w:r>
          </w:p>
        </w:tc>
      </w:tr>
      <w:tr w14:paraId="1CD2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18895D9C">
            <w:pPr>
              <w:pStyle w:val="40"/>
            </w:pPr>
          </w:p>
        </w:tc>
        <w:tc>
          <w:tcPr>
            <w:tcW w:w="1084" w:type="dxa"/>
            <w:shd w:val="clear" w:color="auto" w:fill="auto"/>
            <w:noWrap/>
            <w:vAlign w:val="bottom"/>
          </w:tcPr>
          <w:p w14:paraId="7E31E428">
            <w:pPr>
              <w:pStyle w:val="40"/>
            </w:pPr>
            <w:r>
              <w:rPr>
                <w:rFonts w:hint="eastAsia"/>
              </w:rPr>
              <w:t>2013</w:t>
            </w:r>
          </w:p>
        </w:tc>
        <w:tc>
          <w:tcPr>
            <w:tcW w:w="1084" w:type="dxa"/>
            <w:shd w:val="clear" w:color="auto" w:fill="auto"/>
            <w:noWrap/>
            <w:vAlign w:val="bottom"/>
          </w:tcPr>
          <w:p w14:paraId="65BA9D06">
            <w:pPr>
              <w:pStyle w:val="40"/>
            </w:pPr>
            <w:r>
              <w:rPr>
                <w:rFonts w:hint="eastAsia"/>
              </w:rPr>
              <w:t>1026</w:t>
            </w:r>
          </w:p>
        </w:tc>
        <w:tc>
          <w:tcPr>
            <w:tcW w:w="1084" w:type="dxa"/>
            <w:shd w:val="clear" w:color="auto" w:fill="auto"/>
            <w:noWrap/>
            <w:vAlign w:val="bottom"/>
          </w:tcPr>
          <w:p w14:paraId="4E03F31E">
            <w:pPr>
              <w:pStyle w:val="40"/>
            </w:pPr>
            <w:r>
              <w:rPr>
                <w:rFonts w:hint="eastAsia"/>
              </w:rPr>
              <w:t>351</w:t>
            </w:r>
          </w:p>
        </w:tc>
        <w:tc>
          <w:tcPr>
            <w:tcW w:w="1084" w:type="dxa"/>
            <w:shd w:val="clear" w:color="auto" w:fill="auto"/>
            <w:noWrap/>
            <w:vAlign w:val="bottom"/>
          </w:tcPr>
          <w:p w14:paraId="24CE7406">
            <w:pPr>
              <w:pStyle w:val="40"/>
            </w:pPr>
            <w:r>
              <w:rPr>
                <w:rFonts w:hint="eastAsia"/>
              </w:rPr>
              <w:t>574</w:t>
            </w:r>
          </w:p>
        </w:tc>
        <w:tc>
          <w:tcPr>
            <w:tcW w:w="1084" w:type="dxa"/>
            <w:shd w:val="clear" w:color="auto" w:fill="auto"/>
            <w:noWrap/>
            <w:vAlign w:val="bottom"/>
          </w:tcPr>
          <w:p w14:paraId="50D5C112">
            <w:pPr>
              <w:pStyle w:val="40"/>
            </w:pPr>
            <w:r>
              <w:rPr>
                <w:rFonts w:hint="eastAsia"/>
              </w:rPr>
              <w:t>101</w:t>
            </w:r>
          </w:p>
        </w:tc>
        <w:tc>
          <w:tcPr>
            <w:tcW w:w="1084" w:type="dxa"/>
            <w:shd w:val="clear" w:color="auto" w:fill="auto"/>
            <w:noWrap/>
            <w:vAlign w:val="bottom"/>
          </w:tcPr>
          <w:p w14:paraId="655B2C8A">
            <w:pPr>
              <w:pStyle w:val="40"/>
            </w:pPr>
            <w:r>
              <w:rPr>
                <w:rFonts w:hint="eastAsia"/>
              </w:rPr>
              <w:t>100</w:t>
            </w:r>
          </w:p>
        </w:tc>
        <w:tc>
          <w:tcPr>
            <w:tcW w:w="1084" w:type="dxa"/>
            <w:shd w:val="clear" w:color="auto" w:fill="auto"/>
            <w:noWrap/>
            <w:vAlign w:val="bottom"/>
          </w:tcPr>
          <w:p w14:paraId="69672A29">
            <w:pPr>
              <w:pStyle w:val="40"/>
            </w:pPr>
            <w:r>
              <w:rPr>
                <w:rFonts w:hint="eastAsia"/>
              </w:rPr>
              <w:t>452</w:t>
            </w:r>
          </w:p>
        </w:tc>
        <w:tc>
          <w:tcPr>
            <w:tcW w:w="1085" w:type="dxa"/>
            <w:shd w:val="clear" w:color="auto" w:fill="auto"/>
            <w:noWrap/>
            <w:vAlign w:val="bottom"/>
          </w:tcPr>
          <w:p w14:paraId="109BF26C">
            <w:pPr>
              <w:pStyle w:val="40"/>
            </w:pPr>
            <w:r>
              <w:rPr>
                <w:rFonts w:hint="eastAsia"/>
              </w:rPr>
              <w:t>473</w:t>
            </w:r>
          </w:p>
        </w:tc>
      </w:tr>
      <w:tr w14:paraId="6D8A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7E023876">
            <w:pPr>
              <w:pStyle w:val="40"/>
            </w:pPr>
          </w:p>
        </w:tc>
        <w:tc>
          <w:tcPr>
            <w:tcW w:w="1084" w:type="dxa"/>
            <w:shd w:val="clear" w:color="auto" w:fill="auto"/>
            <w:noWrap/>
            <w:vAlign w:val="bottom"/>
          </w:tcPr>
          <w:p w14:paraId="40067752">
            <w:pPr>
              <w:pStyle w:val="40"/>
            </w:pPr>
            <w:r>
              <w:rPr>
                <w:rFonts w:hint="eastAsia"/>
              </w:rPr>
              <w:t>2014</w:t>
            </w:r>
          </w:p>
        </w:tc>
        <w:tc>
          <w:tcPr>
            <w:tcW w:w="1084" w:type="dxa"/>
            <w:shd w:val="clear" w:color="auto" w:fill="auto"/>
            <w:noWrap/>
            <w:vAlign w:val="bottom"/>
          </w:tcPr>
          <w:p w14:paraId="775EFDFD">
            <w:pPr>
              <w:pStyle w:val="40"/>
            </w:pPr>
            <w:r>
              <w:rPr>
                <w:rFonts w:hint="eastAsia"/>
              </w:rPr>
              <w:t>1070</w:t>
            </w:r>
          </w:p>
        </w:tc>
        <w:tc>
          <w:tcPr>
            <w:tcW w:w="1084" w:type="dxa"/>
            <w:shd w:val="clear" w:color="auto" w:fill="auto"/>
            <w:noWrap/>
            <w:vAlign w:val="bottom"/>
          </w:tcPr>
          <w:p w14:paraId="0C5DF649">
            <w:pPr>
              <w:pStyle w:val="40"/>
            </w:pPr>
            <w:r>
              <w:rPr>
                <w:rFonts w:hint="eastAsia"/>
              </w:rPr>
              <w:t>367</w:t>
            </w:r>
          </w:p>
        </w:tc>
        <w:tc>
          <w:tcPr>
            <w:tcW w:w="1084" w:type="dxa"/>
            <w:shd w:val="clear" w:color="auto" w:fill="auto"/>
            <w:noWrap/>
            <w:vAlign w:val="bottom"/>
          </w:tcPr>
          <w:p w14:paraId="1951158C">
            <w:pPr>
              <w:pStyle w:val="40"/>
            </w:pPr>
            <w:r>
              <w:rPr>
                <w:rFonts w:hint="eastAsia"/>
              </w:rPr>
              <w:t>601</w:t>
            </w:r>
          </w:p>
        </w:tc>
        <w:tc>
          <w:tcPr>
            <w:tcW w:w="1084" w:type="dxa"/>
            <w:shd w:val="clear" w:color="auto" w:fill="auto"/>
            <w:noWrap/>
            <w:vAlign w:val="bottom"/>
          </w:tcPr>
          <w:p w14:paraId="490C56DC">
            <w:pPr>
              <w:pStyle w:val="40"/>
            </w:pPr>
            <w:r>
              <w:rPr>
                <w:rFonts w:hint="eastAsia"/>
              </w:rPr>
              <w:t>102</w:t>
            </w:r>
          </w:p>
        </w:tc>
        <w:tc>
          <w:tcPr>
            <w:tcW w:w="1084" w:type="dxa"/>
            <w:shd w:val="clear" w:color="auto" w:fill="auto"/>
            <w:noWrap/>
            <w:vAlign w:val="bottom"/>
          </w:tcPr>
          <w:p w14:paraId="5F91EB03">
            <w:pPr>
              <w:pStyle w:val="40"/>
            </w:pPr>
            <w:r>
              <w:rPr>
                <w:rFonts w:hint="eastAsia"/>
              </w:rPr>
              <w:t>99</w:t>
            </w:r>
          </w:p>
        </w:tc>
        <w:tc>
          <w:tcPr>
            <w:tcW w:w="1084" w:type="dxa"/>
            <w:shd w:val="clear" w:color="auto" w:fill="auto"/>
            <w:noWrap/>
            <w:vAlign w:val="bottom"/>
          </w:tcPr>
          <w:p w14:paraId="585F8486">
            <w:pPr>
              <w:pStyle w:val="40"/>
            </w:pPr>
            <w:r>
              <w:rPr>
                <w:rFonts w:hint="eastAsia"/>
              </w:rPr>
              <w:t>465</w:t>
            </w:r>
          </w:p>
        </w:tc>
        <w:tc>
          <w:tcPr>
            <w:tcW w:w="1085" w:type="dxa"/>
            <w:shd w:val="clear" w:color="auto" w:fill="auto"/>
            <w:noWrap/>
            <w:vAlign w:val="bottom"/>
          </w:tcPr>
          <w:p w14:paraId="1579F5CB">
            <w:pPr>
              <w:pStyle w:val="40"/>
            </w:pPr>
            <w:r>
              <w:rPr>
                <w:rFonts w:hint="eastAsia"/>
              </w:rPr>
              <w:t>506</w:t>
            </w:r>
          </w:p>
        </w:tc>
      </w:tr>
      <w:tr w14:paraId="10F9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347E396B">
            <w:pPr>
              <w:pStyle w:val="40"/>
            </w:pPr>
          </w:p>
        </w:tc>
        <w:tc>
          <w:tcPr>
            <w:tcW w:w="1084" w:type="dxa"/>
            <w:shd w:val="clear" w:color="auto" w:fill="auto"/>
            <w:noWrap/>
            <w:vAlign w:val="bottom"/>
          </w:tcPr>
          <w:p w14:paraId="6AFA50D3">
            <w:pPr>
              <w:pStyle w:val="40"/>
            </w:pPr>
            <w:r>
              <w:rPr>
                <w:rFonts w:hint="eastAsia"/>
              </w:rPr>
              <w:t>2015</w:t>
            </w:r>
          </w:p>
        </w:tc>
        <w:tc>
          <w:tcPr>
            <w:tcW w:w="1084" w:type="dxa"/>
            <w:shd w:val="clear" w:color="auto" w:fill="auto"/>
            <w:noWrap/>
            <w:vAlign w:val="bottom"/>
          </w:tcPr>
          <w:p w14:paraId="1B627395">
            <w:pPr>
              <w:pStyle w:val="40"/>
            </w:pPr>
            <w:r>
              <w:rPr>
                <w:rFonts w:hint="eastAsia"/>
              </w:rPr>
              <w:t>1148</w:t>
            </w:r>
          </w:p>
        </w:tc>
        <w:tc>
          <w:tcPr>
            <w:tcW w:w="1084" w:type="dxa"/>
            <w:shd w:val="clear" w:color="auto" w:fill="auto"/>
            <w:noWrap/>
            <w:vAlign w:val="bottom"/>
          </w:tcPr>
          <w:p w14:paraId="6D704F4A">
            <w:pPr>
              <w:pStyle w:val="40"/>
            </w:pPr>
            <w:r>
              <w:rPr>
                <w:rFonts w:hint="eastAsia"/>
              </w:rPr>
              <w:t>393</w:t>
            </w:r>
          </w:p>
        </w:tc>
        <w:tc>
          <w:tcPr>
            <w:tcW w:w="1084" w:type="dxa"/>
            <w:shd w:val="clear" w:color="auto" w:fill="auto"/>
            <w:noWrap/>
            <w:vAlign w:val="bottom"/>
          </w:tcPr>
          <w:p w14:paraId="3AB7E428">
            <w:pPr>
              <w:pStyle w:val="40"/>
            </w:pPr>
            <w:r>
              <w:rPr>
                <w:rFonts w:hint="eastAsia"/>
              </w:rPr>
              <w:t>644</w:t>
            </w:r>
          </w:p>
        </w:tc>
        <w:tc>
          <w:tcPr>
            <w:tcW w:w="1084" w:type="dxa"/>
            <w:shd w:val="clear" w:color="auto" w:fill="auto"/>
            <w:noWrap/>
            <w:vAlign w:val="bottom"/>
          </w:tcPr>
          <w:p w14:paraId="0A37048D">
            <w:pPr>
              <w:pStyle w:val="40"/>
            </w:pPr>
            <w:r>
              <w:rPr>
                <w:rFonts w:hint="eastAsia"/>
              </w:rPr>
              <w:t>111</w:t>
            </w:r>
          </w:p>
        </w:tc>
        <w:tc>
          <w:tcPr>
            <w:tcW w:w="1084" w:type="dxa"/>
            <w:shd w:val="clear" w:color="auto" w:fill="auto"/>
            <w:noWrap/>
            <w:vAlign w:val="bottom"/>
          </w:tcPr>
          <w:p w14:paraId="1ACC338C">
            <w:pPr>
              <w:pStyle w:val="40"/>
            </w:pPr>
            <w:r>
              <w:rPr>
                <w:rFonts w:hint="eastAsia"/>
              </w:rPr>
              <w:t>104</w:t>
            </w:r>
          </w:p>
        </w:tc>
        <w:tc>
          <w:tcPr>
            <w:tcW w:w="1084" w:type="dxa"/>
            <w:shd w:val="clear" w:color="auto" w:fill="auto"/>
            <w:noWrap/>
            <w:vAlign w:val="bottom"/>
          </w:tcPr>
          <w:p w14:paraId="29EAC51B">
            <w:pPr>
              <w:pStyle w:val="40"/>
            </w:pPr>
            <w:r>
              <w:rPr>
                <w:rFonts w:hint="eastAsia"/>
              </w:rPr>
              <w:t>502</w:t>
            </w:r>
          </w:p>
        </w:tc>
        <w:tc>
          <w:tcPr>
            <w:tcW w:w="1085" w:type="dxa"/>
            <w:shd w:val="clear" w:color="auto" w:fill="auto"/>
            <w:noWrap/>
            <w:vAlign w:val="bottom"/>
          </w:tcPr>
          <w:p w14:paraId="45FBCB13">
            <w:pPr>
              <w:pStyle w:val="40"/>
            </w:pPr>
            <w:r>
              <w:rPr>
                <w:rFonts w:hint="eastAsia"/>
              </w:rPr>
              <w:t>542</w:t>
            </w:r>
          </w:p>
        </w:tc>
      </w:tr>
      <w:tr w14:paraId="1333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02D5B28D">
            <w:pPr>
              <w:pStyle w:val="40"/>
            </w:pPr>
          </w:p>
        </w:tc>
        <w:tc>
          <w:tcPr>
            <w:tcW w:w="1084" w:type="dxa"/>
            <w:shd w:val="clear" w:color="auto" w:fill="auto"/>
            <w:noWrap/>
            <w:vAlign w:val="bottom"/>
          </w:tcPr>
          <w:p w14:paraId="2A052025">
            <w:pPr>
              <w:pStyle w:val="40"/>
            </w:pPr>
            <w:r>
              <w:rPr>
                <w:rFonts w:hint="eastAsia"/>
              </w:rPr>
              <w:t>2016</w:t>
            </w:r>
          </w:p>
        </w:tc>
        <w:tc>
          <w:tcPr>
            <w:tcW w:w="1084" w:type="dxa"/>
            <w:shd w:val="clear" w:color="auto" w:fill="auto"/>
            <w:noWrap/>
            <w:vAlign w:val="bottom"/>
          </w:tcPr>
          <w:p w14:paraId="062ACE55">
            <w:pPr>
              <w:pStyle w:val="40"/>
            </w:pPr>
            <w:r>
              <w:rPr>
                <w:rFonts w:hint="eastAsia"/>
              </w:rPr>
              <w:t>1219</w:t>
            </w:r>
          </w:p>
        </w:tc>
        <w:tc>
          <w:tcPr>
            <w:tcW w:w="1084" w:type="dxa"/>
            <w:shd w:val="clear" w:color="auto" w:fill="auto"/>
            <w:noWrap/>
            <w:vAlign w:val="bottom"/>
          </w:tcPr>
          <w:p w14:paraId="20CACC54">
            <w:pPr>
              <w:pStyle w:val="40"/>
            </w:pPr>
            <w:r>
              <w:rPr>
                <w:rFonts w:hint="eastAsia"/>
              </w:rPr>
              <w:t>417</w:t>
            </w:r>
          </w:p>
        </w:tc>
        <w:tc>
          <w:tcPr>
            <w:tcW w:w="1084" w:type="dxa"/>
            <w:shd w:val="clear" w:color="auto" w:fill="auto"/>
            <w:noWrap/>
            <w:vAlign w:val="bottom"/>
          </w:tcPr>
          <w:p w14:paraId="2060127F">
            <w:pPr>
              <w:pStyle w:val="40"/>
            </w:pPr>
            <w:r>
              <w:rPr>
                <w:rFonts w:hint="eastAsia"/>
              </w:rPr>
              <w:t>683</w:t>
            </w:r>
          </w:p>
        </w:tc>
        <w:tc>
          <w:tcPr>
            <w:tcW w:w="1084" w:type="dxa"/>
            <w:shd w:val="clear" w:color="auto" w:fill="auto"/>
            <w:noWrap/>
            <w:vAlign w:val="bottom"/>
          </w:tcPr>
          <w:p w14:paraId="6D2A5C00">
            <w:pPr>
              <w:pStyle w:val="40"/>
            </w:pPr>
            <w:r>
              <w:rPr>
                <w:rFonts w:hint="eastAsia"/>
              </w:rPr>
              <w:t>119</w:t>
            </w:r>
          </w:p>
        </w:tc>
        <w:tc>
          <w:tcPr>
            <w:tcW w:w="1084" w:type="dxa"/>
            <w:shd w:val="clear" w:color="auto" w:fill="auto"/>
            <w:noWrap/>
            <w:vAlign w:val="bottom"/>
          </w:tcPr>
          <w:p w14:paraId="6884FB97">
            <w:pPr>
              <w:pStyle w:val="40"/>
            </w:pPr>
            <w:r>
              <w:rPr>
                <w:rFonts w:hint="eastAsia"/>
              </w:rPr>
              <w:t>111</w:t>
            </w:r>
          </w:p>
        </w:tc>
        <w:tc>
          <w:tcPr>
            <w:tcW w:w="1084" w:type="dxa"/>
            <w:shd w:val="clear" w:color="auto" w:fill="auto"/>
            <w:noWrap/>
            <w:vAlign w:val="bottom"/>
          </w:tcPr>
          <w:p w14:paraId="06DD9B07">
            <w:pPr>
              <w:pStyle w:val="40"/>
            </w:pPr>
            <w:r>
              <w:rPr>
                <w:rFonts w:hint="eastAsia"/>
              </w:rPr>
              <w:t>539</w:t>
            </w:r>
          </w:p>
        </w:tc>
        <w:tc>
          <w:tcPr>
            <w:tcW w:w="1085" w:type="dxa"/>
            <w:shd w:val="clear" w:color="auto" w:fill="auto"/>
            <w:noWrap/>
            <w:vAlign w:val="bottom"/>
          </w:tcPr>
          <w:p w14:paraId="35B60262">
            <w:pPr>
              <w:pStyle w:val="40"/>
            </w:pPr>
            <w:r>
              <w:rPr>
                <w:rFonts w:hint="eastAsia"/>
              </w:rPr>
              <w:t>569</w:t>
            </w:r>
          </w:p>
        </w:tc>
      </w:tr>
      <w:tr w14:paraId="459E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495EE1BB">
            <w:pPr>
              <w:pStyle w:val="40"/>
            </w:pPr>
          </w:p>
        </w:tc>
        <w:tc>
          <w:tcPr>
            <w:tcW w:w="1084" w:type="dxa"/>
            <w:shd w:val="clear" w:color="auto" w:fill="auto"/>
            <w:noWrap/>
            <w:vAlign w:val="bottom"/>
          </w:tcPr>
          <w:p w14:paraId="0B58ABEE">
            <w:pPr>
              <w:pStyle w:val="40"/>
            </w:pPr>
            <w:r>
              <w:rPr>
                <w:rFonts w:hint="eastAsia"/>
              </w:rPr>
              <w:t>2017</w:t>
            </w:r>
          </w:p>
        </w:tc>
        <w:tc>
          <w:tcPr>
            <w:tcW w:w="1084" w:type="dxa"/>
            <w:shd w:val="clear" w:color="auto" w:fill="auto"/>
            <w:noWrap/>
            <w:vAlign w:val="bottom"/>
          </w:tcPr>
          <w:p w14:paraId="2DAA4E3F">
            <w:pPr>
              <w:pStyle w:val="40"/>
            </w:pPr>
            <w:r>
              <w:rPr>
                <w:rFonts w:hint="eastAsia"/>
              </w:rPr>
              <w:t>1333</w:t>
            </w:r>
          </w:p>
        </w:tc>
        <w:tc>
          <w:tcPr>
            <w:tcW w:w="1084" w:type="dxa"/>
            <w:shd w:val="clear" w:color="auto" w:fill="auto"/>
            <w:noWrap/>
            <w:vAlign w:val="bottom"/>
          </w:tcPr>
          <w:p w14:paraId="3B61079B">
            <w:pPr>
              <w:pStyle w:val="40"/>
            </w:pPr>
            <w:r>
              <w:rPr>
                <w:rFonts w:hint="eastAsia"/>
              </w:rPr>
              <w:t>457</w:t>
            </w:r>
          </w:p>
        </w:tc>
        <w:tc>
          <w:tcPr>
            <w:tcW w:w="1084" w:type="dxa"/>
            <w:shd w:val="clear" w:color="auto" w:fill="auto"/>
            <w:noWrap/>
            <w:vAlign w:val="bottom"/>
          </w:tcPr>
          <w:p w14:paraId="626A180C">
            <w:pPr>
              <w:pStyle w:val="40"/>
            </w:pPr>
            <w:r>
              <w:rPr>
                <w:rFonts w:hint="eastAsia"/>
              </w:rPr>
              <w:t>748</w:t>
            </w:r>
          </w:p>
        </w:tc>
        <w:tc>
          <w:tcPr>
            <w:tcW w:w="1084" w:type="dxa"/>
            <w:shd w:val="clear" w:color="auto" w:fill="auto"/>
            <w:noWrap/>
            <w:vAlign w:val="bottom"/>
          </w:tcPr>
          <w:p w14:paraId="3905E594">
            <w:pPr>
              <w:pStyle w:val="40"/>
            </w:pPr>
            <w:r>
              <w:rPr>
                <w:rFonts w:hint="eastAsia"/>
              </w:rPr>
              <w:t>128</w:t>
            </w:r>
          </w:p>
        </w:tc>
        <w:tc>
          <w:tcPr>
            <w:tcW w:w="1084" w:type="dxa"/>
            <w:shd w:val="clear" w:color="auto" w:fill="auto"/>
            <w:noWrap/>
            <w:vAlign w:val="bottom"/>
          </w:tcPr>
          <w:p w14:paraId="7C784874">
            <w:pPr>
              <w:pStyle w:val="40"/>
            </w:pPr>
            <w:r>
              <w:rPr>
                <w:rFonts w:hint="eastAsia"/>
              </w:rPr>
              <w:t>117</w:t>
            </w:r>
          </w:p>
        </w:tc>
        <w:tc>
          <w:tcPr>
            <w:tcW w:w="1084" w:type="dxa"/>
            <w:shd w:val="clear" w:color="auto" w:fill="auto"/>
            <w:noWrap/>
            <w:vAlign w:val="bottom"/>
          </w:tcPr>
          <w:p w14:paraId="39B8CFA0">
            <w:pPr>
              <w:pStyle w:val="40"/>
            </w:pPr>
            <w:r>
              <w:rPr>
                <w:rFonts w:hint="eastAsia"/>
              </w:rPr>
              <w:t>569</w:t>
            </w:r>
          </w:p>
        </w:tc>
        <w:tc>
          <w:tcPr>
            <w:tcW w:w="1085" w:type="dxa"/>
            <w:shd w:val="clear" w:color="auto" w:fill="auto"/>
            <w:noWrap/>
            <w:vAlign w:val="bottom"/>
          </w:tcPr>
          <w:p w14:paraId="504DA4F0">
            <w:pPr>
              <w:pStyle w:val="40"/>
            </w:pPr>
            <w:r>
              <w:rPr>
                <w:rFonts w:hint="eastAsia"/>
              </w:rPr>
              <w:t>647</w:t>
            </w:r>
          </w:p>
        </w:tc>
      </w:tr>
      <w:tr w14:paraId="30CE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7394640F">
            <w:pPr>
              <w:pStyle w:val="40"/>
            </w:pPr>
          </w:p>
        </w:tc>
        <w:tc>
          <w:tcPr>
            <w:tcW w:w="1084" w:type="dxa"/>
            <w:shd w:val="clear" w:color="auto" w:fill="auto"/>
            <w:noWrap/>
            <w:vAlign w:val="bottom"/>
          </w:tcPr>
          <w:p w14:paraId="0662F8D1">
            <w:pPr>
              <w:pStyle w:val="40"/>
            </w:pPr>
            <w:r>
              <w:rPr>
                <w:rFonts w:hint="eastAsia"/>
              </w:rPr>
              <w:t>2018</w:t>
            </w:r>
          </w:p>
        </w:tc>
        <w:tc>
          <w:tcPr>
            <w:tcW w:w="1084" w:type="dxa"/>
            <w:shd w:val="clear" w:color="auto" w:fill="auto"/>
            <w:noWrap/>
            <w:vAlign w:val="bottom"/>
          </w:tcPr>
          <w:p w14:paraId="4002F7A1">
            <w:pPr>
              <w:pStyle w:val="40"/>
            </w:pPr>
            <w:r>
              <w:rPr>
                <w:rFonts w:hint="eastAsia"/>
              </w:rPr>
              <w:t>1437</w:t>
            </w:r>
          </w:p>
        </w:tc>
        <w:tc>
          <w:tcPr>
            <w:tcW w:w="1084" w:type="dxa"/>
            <w:shd w:val="clear" w:color="auto" w:fill="auto"/>
            <w:noWrap/>
            <w:vAlign w:val="bottom"/>
          </w:tcPr>
          <w:p w14:paraId="611C20D0">
            <w:pPr>
              <w:pStyle w:val="40"/>
            </w:pPr>
            <w:r>
              <w:rPr>
                <w:rFonts w:hint="eastAsia"/>
              </w:rPr>
              <w:t>495</w:t>
            </w:r>
          </w:p>
        </w:tc>
        <w:tc>
          <w:tcPr>
            <w:tcW w:w="1084" w:type="dxa"/>
            <w:shd w:val="clear" w:color="auto" w:fill="auto"/>
            <w:noWrap/>
            <w:vAlign w:val="bottom"/>
          </w:tcPr>
          <w:p w14:paraId="44F21A07">
            <w:pPr>
              <w:pStyle w:val="40"/>
            </w:pPr>
            <w:r>
              <w:rPr>
                <w:rFonts w:hint="eastAsia"/>
              </w:rPr>
              <w:t>811</w:t>
            </w:r>
          </w:p>
        </w:tc>
        <w:tc>
          <w:tcPr>
            <w:tcW w:w="1084" w:type="dxa"/>
            <w:shd w:val="clear" w:color="auto" w:fill="auto"/>
            <w:noWrap/>
            <w:vAlign w:val="bottom"/>
          </w:tcPr>
          <w:p w14:paraId="589A89FE">
            <w:pPr>
              <w:pStyle w:val="40"/>
            </w:pPr>
            <w:r>
              <w:rPr>
                <w:rFonts w:hint="eastAsia"/>
              </w:rPr>
              <w:t>131</w:t>
            </w:r>
          </w:p>
        </w:tc>
        <w:tc>
          <w:tcPr>
            <w:tcW w:w="1084" w:type="dxa"/>
            <w:shd w:val="clear" w:color="auto" w:fill="auto"/>
            <w:noWrap/>
            <w:vAlign w:val="bottom"/>
          </w:tcPr>
          <w:p w14:paraId="1614FECE">
            <w:pPr>
              <w:pStyle w:val="40"/>
            </w:pPr>
            <w:r>
              <w:rPr>
                <w:rFonts w:hint="eastAsia"/>
              </w:rPr>
              <w:t>122</w:t>
            </w:r>
          </w:p>
        </w:tc>
        <w:tc>
          <w:tcPr>
            <w:tcW w:w="1084" w:type="dxa"/>
            <w:shd w:val="clear" w:color="auto" w:fill="auto"/>
            <w:noWrap/>
            <w:vAlign w:val="bottom"/>
          </w:tcPr>
          <w:p w14:paraId="5E41494B">
            <w:pPr>
              <w:pStyle w:val="40"/>
            </w:pPr>
            <w:r>
              <w:rPr>
                <w:rFonts w:hint="eastAsia"/>
              </w:rPr>
              <w:t>618</w:t>
            </w:r>
          </w:p>
        </w:tc>
        <w:tc>
          <w:tcPr>
            <w:tcW w:w="1085" w:type="dxa"/>
            <w:shd w:val="clear" w:color="auto" w:fill="auto"/>
            <w:noWrap/>
            <w:vAlign w:val="bottom"/>
          </w:tcPr>
          <w:p w14:paraId="381C8B16">
            <w:pPr>
              <w:pStyle w:val="40"/>
            </w:pPr>
            <w:r>
              <w:rPr>
                <w:rFonts w:hint="eastAsia"/>
              </w:rPr>
              <w:t>698</w:t>
            </w:r>
          </w:p>
        </w:tc>
      </w:tr>
      <w:tr w14:paraId="7C89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2" w:type="dxa"/>
            <w:vMerge w:val="continue"/>
            <w:vAlign w:val="center"/>
          </w:tcPr>
          <w:p w14:paraId="72CB8DAE">
            <w:pPr>
              <w:pStyle w:val="40"/>
            </w:pPr>
          </w:p>
        </w:tc>
        <w:tc>
          <w:tcPr>
            <w:tcW w:w="1084" w:type="dxa"/>
            <w:shd w:val="clear" w:color="auto" w:fill="auto"/>
            <w:noWrap/>
            <w:vAlign w:val="bottom"/>
          </w:tcPr>
          <w:p w14:paraId="6078389E">
            <w:pPr>
              <w:pStyle w:val="40"/>
            </w:pPr>
            <w:r>
              <w:rPr>
                <w:rFonts w:hint="eastAsia"/>
              </w:rPr>
              <w:t>2019</w:t>
            </w:r>
          </w:p>
        </w:tc>
        <w:tc>
          <w:tcPr>
            <w:tcW w:w="1084" w:type="dxa"/>
            <w:shd w:val="clear" w:color="auto" w:fill="auto"/>
            <w:noWrap/>
            <w:vAlign w:val="bottom"/>
          </w:tcPr>
          <w:p w14:paraId="0E514DC9">
            <w:pPr>
              <w:pStyle w:val="40"/>
            </w:pPr>
            <w:r>
              <w:rPr>
                <w:rFonts w:hint="eastAsia"/>
              </w:rPr>
              <w:t>1494</w:t>
            </w:r>
          </w:p>
        </w:tc>
        <w:tc>
          <w:tcPr>
            <w:tcW w:w="1084" w:type="dxa"/>
            <w:shd w:val="clear" w:color="auto" w:fill="auto"/>
            <w:noWrap/>
            <w:vAlign w:val="bottom"/>
          </w:tcPr>
          <w:p w14:paraId="751C4D3B">
            <w:pPr>
              <w:pStyle w:val="40"/>
            </w:pPr>
            <w:r>
              <w:rPr>
                <w:rFonts w:hint="eastAsia"/>
              </w:rPr>
              <w:t>513</w:t>
            </w:r>
          </w:p>
        </w:tc>
        <w:tc>
          <w:tcPr>
            <w:tcW w:w="1084" w:type="dxa"/>
            <w:shd w:val="clear" w:color="auto" w:fill="auto"/>
            <w:noWrap/>
            <w:vAlign w:val="bottom"/>
          </w:tcPr>
          <w:p w14:paraId="761DF060">
            <w:pPr>
              <w:pStyle w:val="40"/>
            </w:pPr>
            <w:r>
              <w:rPr>
                <w:rFonts w:hint="eastAsia"/>
              </w:rPr>
              <w:t>840</w:t>
            </w:r>
          </w:p>
        </w:tc>
        <w:tc>
          <w:tcPr>
            <w:tcW w:w="1084" w:type="dxa"/>
            <w:shd w:val="clear" w:color="auto" w:fill="auto"/>
            <w:noWrap/>
            <w:vAlign w:val="bottom"/>
          </w:tcPr>
          <w:p w14:paraId="45787992">
            <w:pPr>
              <w:pStyle w:val="40"/>
            </w:pPr>
            <w:r>
              <w:rPr>
                <w:rFonts w:hint="eastAsia"/>
              </w:rPr>
              <w:t>141</w:t>
            </w:r>
          </w:p>
        </w:tc>
        <w:tc>
          <w:tcPr>
            <w:tcW w:w="1084" w:type="dxa"/>
            <w:shd w:val="clear" w:color="auto" w:fill="auto"/>
            <w:noWrap/>
            <w:vAlign w:val="bottom"/>
          </w:tcPr>
          <w:p w14:paraId="410D1BBE">
            <w:pPr>
              <w:pStyle w:val="40"/>
            </w:pPr>
            <w:r>
              <w:rPr>
                <w:rFonts w:hint="eastAsia"/>
              </w:rPr>
              <w:t>128</w:t>
            </w:r>
          </w:p>
        </w:tc>
        <w:tc>
          <w:tcPr>
            <w:tcW w:w="1084" w:type="dxa"/>
            <w:shd w:val="clear" w:color="auto" w:fill="auto"/>
            <w:noWrap/>
            <w:vAlign w:val="bottom"/>
          </w:tcPr>
          <w:p w14:paraId="299B11CA">
            <w:pPr>
              <w:pStyle w:val="40"/>
            </w:pPr>
            <w:r>
              <w:rPr>
                <w:rFonts w:hint="eastAsia"/>
              </w:rPr>
              <w:t>655</w:t>
            </w:r>
          </w:p>
        </w:tc>
        <w:tc>
          <w:tcPr>
            <w:tcW w:w="1085" w:type="dxa"/>
            <w:shd w:val="clear" w:color="auto" w:fill="auto"/>
            <w:noWrap/>
            <w:vAlign w:val="bottom"/>
          </w:tcPr>
          <w:p w14:paraId="33B136BC">
            <w:pPr>
              <w:pStyle w:val="40"/>
            </w:pPr>
            <w:r>
              <w:rPr>
                <w:rFonts w:hint="eastAsia"/>
              </w:rPr>
              <w:t>711</w:t>
            </w:r>
          </w:p>
        </w:tc>
      </w:tr>
      <w:tr w14:paraId="2A19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restart"/>
            <w:shd w:val="clear" w:color="auto" w:fill="auto"/>
            <w:noWrap/>
            <w:vAlign w:val="center"/>
          </w:tcPr>
          <w:p w14:paraId="4C54A857">
            <w:pPr>
              <w:pStyle w:val="40"/>
            </w:pPr>
            <w:r>
              <w:rPr>
                <w:rFonts w:hint="eastAsia"/>
              </w:rPr>
              <w:t>预测数据</w:t>
            </w:r>
          </w:p>
        </w:tc>
        <w:tc>
          <w:tcPr>
            <w:tcW w:w="1084" w:type="dxa"/>
            <w:shd w:val="clear" w:color="000000" w:fill="DDEBF7"/>
            <w:noWrap/>
            <w:vAlign w:val="bottom"/>
          </w:tcPr>
          <w:p w14:paraId="51A34A29">
            <w:pPr>
              <w:pStyle w:val="40"/>
            </w:pPr>
            <w:r>
              <w:rPr>
                <w:rFonts w:hint="eastAsia"/>
              </w:rPr>
              <w:t>2020</w:t>
            </w:r>
          </w:p>
        </w:tc>
        <w:tc>
          <w:tcPr>
            <w:tcW w:w="1084" w:type="dxa"/>
            <w:shd w:val="clear" w:color="000000" w:fill="DDEBF7"/>
            <w:noWrap/>
            <w:vAlign w:val="bottom"/>
          </w:tcPr>
          <w:p w14:paraId="20EA8D6E">
            <w:pPr>
              <w:pStyle w:val="40"/>
            </w:pPr>
            <w:r>
              <w:rPr>
                <w:rFonts w:hint="eastAsia"/>
              </w:rPr>
              <w:t>1547</w:t>
            </w:r>
          </w:p>
        </w:tc>
        <w:tc>
          <w:tcPr>
            <w:tcW w:w="1084" w:type="dxa"/>
            <w:shd w:val="clear" w:color="000000" w:fill="DDEBF7"/>
            <w:noWrap/>
            <w:vAlign w:val="bottom"/>
          </w:tcPr>
          <w:p w14:paraId="73143C1C">
            <w:pPr>
              <w:pStyle w:val="40"/>
            </w:pPr>
            <w:r>
              <w:rPr>
                <w:rFonts w:hint="eastAsia"/>
              </w:rPr>
              <w:t>547</w:t>
            </w:r>
          </w:p>
        </w:tc>
        <w:tc>
          <w:tcPr>
            <w:tcW w:w="1084" w:type="dxa"/>
            <w:shd w:val="clear" w:color="000000" w:fill="DDEBF7"/>
            <w:noWrap/>
            <w:vAlign w:val="bottom"/>
          </w:tcPr>
          <w:p w14:paraId="1EDEF4B9">
            <w:pPr>
              <w:pStyle w:val="40"/>
            </w:pPr>
            <w:r>
              <w:rPr>
                <w:rFonts w:hint="eastAsia"/>
              </w:rPr>
              <w:t>858</w:t>
            </w:r>
          </w:p>
        </w:tc>
        <w:tc>
          <w:tcPr>
            <w:tcW w:w="1084" w:type="dxa"/>
            <w:shd w:val="clear" w:color="000000" w:fill="DDEBF7"/>
            <w:noWrap/>
            <w:vAlign w:val="bottom"/>
          </w:tcPr>
          <w:p w14:paraId="4108E489">
            <w:pPr>
              <w:pStyle w:val="40"/>
            </w:pPr>
            <w:r>
              <w:rPr>
                <w:rFonts w:hint="eastAsia"/>
              </w:rPr>
              <w:t>142</w:t>
            </w:r>
          </w:p>
        </w:tc>
        <w:tc>
          <w:tcPr>
            <w:tcW w:w="1084" w:type="dxa"/>
            <w:shd w:val="clear" w:color="000000" w:fill="DDEBF7"/>
            <w:noWrap/>
            <w:vAlign w:val="bottom"/>
          </w:tcPr>
          <w:p w14:paraId="5156F7EE">
            <w:pPr>
              <w:pStyle w:val="40"/>
            </w:pPr>
            <w:r>
              <w:rPr>
                <w:rFonts w:hint="eastAsia"/>
              </w:rPr>
              <w:t>296</w:t>
            </w:r>
          </w:p>
        </w:tc>
        <w:tc>
          <w:tcPr>
            <w:tcW w:w="1084" w:type="dxa"/>
            <w:shd w:val="clear" w:color="000000" w:fill="DDEBF7"/>
            <w:noWrap/>
            <w:vAlign w:val="bottom"/>
          </w:tcPr>
          <w:p w14:paraId="4C4C8357">
            <w:pPr>
              <w:pStyle w:val="40"/>
            </w:pPr>
            <w:r>
              <w:rPr>
                <w:rFonts w:hint="eastAsia"/>
              </w:rPr>
              <w:t>676</w:t>
            </w:r>
          </w:p>
        </w:tc>
        <w:tc>
          <w:tcPr>
            <w:tcW w:w="1085" w:type="dxa"/>
            <w:shd w:val="clear" w:color="000000" w:fill="DDEBF7"/>
            <w:noWrap/>
            <w:vAlign w:val="bottom"/>
          </w:tcPr>
          <w:p w14:paraId="48FE8BEB">
            <w:pPr>
              <w:pStyle w:val="40"/>
            </w:pPr>
            <w:r>
              <w:rPr>
                <w:rFonts w:hint="eastAsia"/>
              </w:rPr>
              <w:t>752</w:t>
            </w:r>
          </w:p>
        </w:tc>
      </w:tr>
      <w:tr w14:paraId="40A8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4BAA25B4">
            <w:pPr>
              <w:pStyle w:val="40"/>
            </w:pPr>
          </w:p>
        </w:tc>
        <w:tc>
          <w:tcPr>
            <w:tcW w:w="1084" w:type="dxa"/>
            <w:shd w:val="clear" w:color="000000" w:fill="DDEBF7"/>
            <w:noWrap/>
            <w:vAlign w:val="bottom"/>
          </w:tcPr>
          <w:p w14:paraId="3ED9C6CF">
            <w:pPr>
              <w:pStyle w:val="40"/>
            </w:pPr>
            <w:r>
              <w:rPr>
                <w:rFonts w:hint="eastAsia"/>
              </w:rPr>
              <w:t>2021</w:t>
            </w:r>
          </w:p>
        </w:tc>
        <w:tc>
          <w:tcPr>
            <w:tcW w:w="1084" w:type="dxa"/>
            <w:shd w:val="clear" w:color="000000" w:fill="DDEBF7"/>
            <w:noWrap/>
            <w:vAlign w:val="bottom"/>
          </w:tcPr>
          <w:p w14:paraId="2C9DE1C4">
            <w:pPr>
              <w:pStyle w:val="40"/>
            </w:pPr>
            <w:r>
              <w:rPr>
                <w:rFonts w:hint="eastAsia"/>
              </w:rPr>
              <w:t>1623</w:t>
            </w:r>
          </w:p>
        </w:tc>
        <w:tc>
          <w:tcPr>
            <w:tcW w:w="1084" w:type="dxa"/>
            <w:shd w:val="clear" w:color="000000" w:fill="DDEBF7"/>
            <w:noWrap/>
            <w:vAlign w:val="bottom"/>
          </w:tcPr>
          <w:p w14:paraId="669D3F06">
            <w:pPr>
              <w:pStyle w:val="40"/>
            </w:pPr>
            <w:r>
              <w:rPr>
                <w:rFonts w:hint="eastAsia"/>
              </w:rPr>
              <w:t>587</w:t>
            </w:r>
          </w:p>
        </w:tc>
        <w:tc>
          <w:tcPr>
            <w:tcW w:w="1084" w:type="dxa"/>
            <w:shd w:val="clear" w:color="000000" w:fill="DDEBF7"/>
            <w:noWrap/>
            <w:vAlign w:val="bottom"/>
          </w:tcPr>
          <w:p w14:paraId="18EF55F8">
            <w:pPr>
              <w:pStyle w:val="40"/>
            </w:pPr>
            <w:r>
              <w:rPr>
                <w:rFonts w:hint="eastAsia"/>
              </w:rPr>
              <w:t>888</w:t>
            </w:r>
          </w:p>
        </w:tc>
        <w:tc>
          <w:tcPr>
            <w:tcW w:w="1084" w:type="dxa"/>
            <w:shd w:val="clear" w:color="000000" w:fill="DDEBF7"/>
            <w:noWrap/>
            <w:vAlign w:val="bottom"/>
          </w:tcPr>
          <w:p w14:paraId="245B027D">
            <w:pPr>
              <w:pStyle w:val="40"/>
            </w:pPr>
            <w:r>
              <w:rPr>
                <w:rFonts w:hint="eastAsia"/>
              </w:rPr>
              <w:t>148</w:t>
            </w:r>
          </w:p>
        </w:tc>
        <w:tc>
          <w:tcPr>
            <w:tcW w:w="1084" w:type="dxa"/>
            <w:shd w:val="clear" w:color="000000" w:fill="DDEBF7"/>
            <w:noWrap/>
            <w:vAlign w:val="bottom"/>
          </w:tcPr>
          <w:p w14:paraId="532C61B4">
            <w:pPr>
              <w:pStyle w:val="40"/>
            </w:pPr>
            <w:r>
              <w:rPr>
                <w:rFonts w:hint="eastAsia"/>
              </w:rPr>
              <w:t>301</w:t>
            </w:r>
          </w:p>
        </w:tc>
        <w:tc>
          <w:tcPr>
            <w:tcW w:w="1084" w:type="dxa"/>
            <w:shd w:val="clear" w:color="000000" w:fill="DDEBF7"/>
            <w:noWrap/>
            <w:vAlign w:val="bottom"/>
          </w:tcPr>
          <w:p w14:paraId="33ADBB56">
            <w:pPr>
              <w:pStyle w:val="40"/>
            </w:pPr>
            <w:r>
              <w:rPr>
                <w:rFonts w:hint="eastAsia"/>
              </w:rPr>
              <w:t>709</w:t>
            </w:r>
          </w:p>
        </w:tc>
        <w:tc>
          <w:tcPr>
            <w:tcW w:w="1085" w:type="dxa"/>
            <w:shd w:val="clear" w:color="000000" w:fill="DDEBF7"/>
            <w:noWrap/>
            <w:vAlign w:val="bottom"/>
          </w:tcPr>
          <w:p w14:paraId="59A3FE3A">
            <w:pPr>
              <w:pStyle w:val="40"/>
            </w:pPr>
            <w:r>
              <w:rPr>
                <w:rFonts w:hint="eastAsia"/>
              </w:rPr>
              <w:t>791</w:t>
            </w:r>
          </w:p>
        </w:tc>
      </w:tr>
      <w:tr w14:paraId="226E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5ACB3352">
            <w:pPr>
              <w:pStyle w:val="40"/>
            </w:pPr>
          </w:p>
        </w:tc>
        <w:tc>
          <w:tcPr>
            <w:tcW w:w="1084" w:type="dxa"/>
            <w:shd w:val="clear" w:color="000000" w:fill="DDEBF7"/>
            <w:noWrap/>
            <w:vAlign w:val="bottom"/>
          </w:tcPr>
          <w:p w14:paraId="646A692A">
            <w:pPr>
              <w:pStyle w:val="40"/>
            </w:pPr>
            <w:r>
              <w:rPr>
                <w:rFonts w:hint="eastAsia"/>
              </w:rPr>
              <w:t>2022</w:t>
            </w:r>
          </w:p>
        </w:tc>
        <w:tc>
          <w:tcPr>
            <w:tcW w:w="1084" w:type="dxa"/>
            <w:shd w:val="clear" w:color="000000" w:fill="DDEBF7"/>
            <w:noWrap/>
            <w:vAlign w:val="bottom"/>
          </w:tcPr>
          <w:p w14:paraId="1D2334E8">
            <w:pPr>
              <w:pStyle w:val="40"/>
            </w:pPr>
            <w:r>
              <w:rPr>
                <w:rFonts w:hint="eastAsia"/>
              </w:rPr>
              <w:t>1695</w:t>
            </w:r>
          </w:p>
        </w:tc>
        <w:tc>
          <w:tcPr>
            <w:tcW w:w="1084" w:type="dxa"/>
            <w:shd w:val="clear" w:color="000000" w:fill="DDEBF7"/>
            <w:noWrap/>
            <w:vAlign w:val="bottom"/>
          </w:tcPr>
          <w:p w14:paraId="5901526F">
            <w:pPr>
              <w:pStyle w:val="40"/>
            </w:pPr>
            <w:r>
              <w:rPr>
                <w:rFonts w:hint="eastAsia"/>
              </w:rPr>
              <w:t>624</w:t>
            </w:r>
          </w:p>
        </w:tc>
        <w:tc>
          <w:tcPr>
            <w:tcW w:w="1084" w:type="dxa"/>
            <w:shd w:val="clear" w:color="000000" w:fill="DDEBF7"/>
            <w:noWrap/>
            <w:vAlign w:val="bottom"/>
          </w:tcPr>
          <w:p w14:paraId="1B9376F6">
            <w:pPr>
              <w:pStyle w:val="40"/>
            </w:pPr>
            <w:r>
              <w:rPr>
                <w:rFonts w:hint="eastAsia"/>
              </w:rPr>
              <w:t>917</w:t>
            </w:r>
          </w:p>
        </w:tc>
        <w:tc>
          <w:tcPr>
            <w:tcW w:w="1084" w:type="dxa"/>
            <w:shd w:val="clear" w:color="000000" w:fill="DDEBF7"/>
            <w:noWrap/>
            <w:vAlign w:val="bottom"/>
          </w:tcPr>
          <w:p w14:paraId="0BEA946A">
            <w:pPr>
              <w:pStyle w:val="40"/>
            </w:pPr>
            <w:r>
              <w:rPr>
                <w:rFonts w:hint="eastAsia"/>
              </w:rPr>
              <w:t>154</w:t>
            </w:r>
          </w:p>
        </w:tc>
        <w:tc>
          <w:tcPr>
            <w:tcW w:w="1084" w:type="dxa"/>
            <w:shd w:val="clear" w:color="000000" w:fill="DDEBF7"/>
            <w:noWrap/>
            <w:vAlign w:val="bottom"/>
          </w:tcPr>
          <w:p w14:paraId="5C2D0B8B">
            <w:pPr>
              <w:pStyle w:val="40"/>
            </w:pPr>
            <w:r>
              <w:rPr>
                <w:rFonts w:hint="eastAsia"/>
              </w:rPr>
              <w:t>305</w:t>
            </w:r>
          </w:p>
        </w:tc>
        <w:tc>
          <w:tcPr>
            <w:tcW w:w="1084" w:type="dxa"/>
            <w:shd w:val="clear" w:color="000000" w:fill="DDEBF7"/>
            <w:noWrap/>
            <w:vAlign w:val="bottom"/>
          </w:tcPr>
          <w:p w14:paraId="558D2D8E">
            <w:pPr>
              <w:pStyle w:val="40"/>
            </w:pPr>
            <w:r>
              <w:rPr>
                <w:rFonts w:hint="eastAsia"/>
              </w:rPr>
              <w:t>741</w:t>
            </w:r>
          </w:p>
        </w:tc>
        <w:tc>
          <w:tcPr>
            <w:tcW w:w="1085" w:type="dxa"/>
            <w:shd w:val="clear" w:color="000000" w:fill="DDEBF7"/>
            <w:noWrap/>
            <w:vAlign w:val="bottom"/>
          </w:tcPr>
          <w:p w14:paraId="6105DC01">
            <w:pPr>
              <w:pStyle w:val="40"/>
            </w:pPr>
            <w:r>
              <w:rPr>
                <w:rFonts w:hint="eastAsia"/>
              </w:rPr>
              <w:t>830</w:t>
            </w:r>
          </w:p>
        </w:tc>
      </w:tr>
      <w:tr w14:paraId="0838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78240A85">
            <w:pPr>
              <w:pStyle w:val="40"/>
            </w:pPr>
          </w:p>
        </w:tc>
        <w:tc>
          <w:tcPr>
            <w:tcW w:w="1084" w:type="dxa"/>
            <w:shd w:val="clear" w:color="000000" w:fill="DDEBF7"/>
            <w:noWrap/>
            <w:vAlign w:val="bottom"/>
          </w:tcPr>
          <w:p w14:paraId="52FF9946">
            <w:pPr>
              <w:pStyle w:val="40"/>
            </w:pPr>
            <w:r>
              <w:rPr>
                <w:rFonts w:hint="eastAsia"/>
              </w:rPr>
              <w:t>2023</w:t>
            </w:r>
          </w:p>
        </w:tc>
        <w:tc>
          <w:tcPr>
            <w:tcW w:w="1084" w:type="dxa"/>
            <w:shd w:val="clear" w:color="000000" w:fill="DDEBF7"/>
            <w:noWrap/>
            <w:vAlign w:val="bottom"/>
          </w:tcPr>
          <w:p w14:paraId="2200FDE8">
            <w:pPr>
              <w:pStyle w:val="40"/>
            </w:pPr>
            <w:r>
              <w:rPr>
                <w:rFonts w:hint="eastAsia"/>
              </w:rPr>
              <w:t>1762</w:t>
            </w:r>
          </w:p>
        </w:tc>
        <w:tc>
          <w:tcPr>
            <w:tcW w:w="1084" w:type="dxa"/>
            <w:shd w:val="clear" w:color="000000" w:fill="DDEBF7"/>
            <w:noWrap/>
            <w:vAlign w:val="bottom"/>
          </w:tcPr>
          <w:p w14:paraId="640388D3">
            <w:pPr>
              <w:pStyle w:val="40"/>
            </w:pPr>
            <w:r>
              <w:rPr>
                <w:rFonts w:hint="eastAsia"/>
              </w:rPr>
              <w:t>659</w:t>
            </w:r>
          </w:p>
        </w:tc>
        <w:tc>
          <w:tcPr>
            <w:tcW w:w="1084" w:type="dxa"/>
            <w:shd w:val="clear" w:color="000000" w:fill="DDEBF7"/>
            <w:noWrap/>
            <w:vAlign w:val="bottom"/>
          </w:tcPr>
          <w:p w14:paraId="16A8756F">
            <w:pPr>
              <w:pStyle w:val="40"/>
            </w:pPr>
            <w:r>
              <w:rPr>
                <w:rFonts w:hint="eastAsia"/>
              </w:rPr>
              <w:t>943</w:t>
            </w:r>
          </w:p>
        </w:tc>
        <w:tc>
          <w:tcPr>
            <w:tcW w:w="1084" w:type="dxa"/>
            <w:shd w:val="clear" w:color="000000" w:fill="DDEBF7"/>
            <w:noWrap/>
            <w:vAlign w:val="bottom"/>
          </w:tcPr>
          <w:p w14:paraId="41ADB2D9">
            <w:pPr>
              <w:pStyle w:val="40"/>
            </w:pPr>
            <w:r>
              <w:rPr>
                <w:rFonts w:hint="eastAsia"/>
              </w:rPr>
              <w:t>160</w:t>
            </w:r>
          </w:p>
        </w:tc>
        <w:tc>
          <w:tcPr>
            <w:tcW w:w="1084" w:type="dxa"/>
            <w:shd w:val="clear" w:color="000000" w:fill="DDEBF7"/>
            <w:noWrap/>
            <w:vAlign w:val="bottom"/>
          </w:tcPr>
          <w:p w14:paraId="238ADBB9">
            <w:pPr>
              <w:pStyle w:val="40"/>
            </w:pPr>
            <w:r>
              <w:rPr>
                <w:rFonts w:hint="eastAsia"/>
              </w:rPr>
              <w:t>310</w:t>
            </w:r>
          </w:p>
        </w:tc>
        <w:tc>
          <w:tcPr>
            <w:tcW w:w="1084" w:type="dxa"/>
            <w:shd w:val="clear" w:color="000000" w:fill="DDEBF7"/>
            <w:noWrap/>
            <w:vAlign w:val="bottom"/>
          </w:tcPr>
          <w:p w14:paraId="56DD6578">
            <w:pPr>
              <w:pStyle w:val="40"/>
            </w:pPr>
            <w:r>
              <w:rPr>
                <w:rFonts w:hint="eastAsia"/>
              </w:rPr>
              <w:t>774</w:t>
            </w:r>
          </w:p>
        </w:tc>
        <w:tc>
          <w:tcPr>
            <w:tcW w:w="1085" w:type="dxa"/>
            <w:shd w:val="clear" w:color="000000" w:fill="DDEBF7"/>
            <w:noWrap/>
            <w:vAlign w:val="bottom"/>
          </w:tcPr>
          <w:p w14:paraId="1951EC34">
            <w:pPr>
              <w:pStyle w:val="40"/>
            </w:pPr>
            <w:r>
              <w:rPr>
                <w:rFonts w:hint="eastAsia"/>
              </w:rPr>
              <w:t>870</w:t>
            </w:r>
          </w:p>
        </w:tc>
      </w:tr>
      <w:tr w14:paraId="3387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7C839B99">
            <w:pPr>
              <w:pStyle w:val="40"/>
            </w:pPr>
          </w:p>
        </w:tc>
        <w:tc>
          <w:tcPr>
            <w:tcW w:w="1084" w:type="dxa"/>
            <w:shd w:val="clear" w:color="000000" w:fill="DDEBF7"/>
            <w:noWrap/>
            <w:vAlign w:val="bottom"/>
          </w:tcPr>
          <w:p w14:paraId="2DCD620B">
            <w:pPr>
              <w:pStyle w:val="40"/>
            </w:pPr>
            <w:r>
              <w:rPr>
                <w:rFonts w:hint="eastAsia"/>
              </w:rPr>
              <w:t>2024</w:t>
            </w:r>
          </w:p>
        </w:tc>
        <w:tc>
          <w:tcPr>
            <w:tcW w:w="1084" w:type="dxa"/>
            <w:shd w:val="clear" w:color="000000" w:fill="DDEBF7"/>
            <w:noWrap/>
            <w:vAlign w:val="bottom"/>
          </w:tcPr>
          <w:p w14:paraId="7E809B17">
            <w:pPr>
              <w:pStyle w:val="40"/>
            </w:pPr>
            <w:r>
              <w:rPr>
                <w:rFonts w:hint="eastAsia"/>
              </w:rPr>
              <w:t>1823</w:t>
            </w:r>
          </w:p>
        </w:tc>
        <w:tc>
          <w:tcPr>
            <w:tcW w:w="1084" w:type="dxa"/>
            <w:shd w:val="clear" w:color="000000" w:fill="DDEBF7"/>
            <w:noWrap/>
            <w:vAlign w:val="bottom"/>
          </w:tcPr>
          <w:p w14:paraId="465A1CB9">
            <w:pPr>
              <w:pStyle w:val="40"/>
            </w:pPr>
            <w:r>
              <w:rPr>
                <w:rFonts w:hint="eastAsia"/>
              </w:rPr>
              <w:t>689</w:t>
            </w:r>
          </w:p>
        </w:tc>
        <w:tc>
          <w:tcPr>
            <w:tcW w:w="1084" w:type="dxa"/>
            <w:shd w:val="clear" w:color="000000" w:fill="DDEBF7"/>
            <w:noWrap/>
            <w:vAlign w:val="bottom"/>
          </w:tcPr>
          <w:p w14:paraId="5E7CDB40">
            <w:pPr>
              <w:pStyle w:val="40"/>
            </w:pPr>
            <w:r>
              <w:rPr>
                <w:rFonts w:hint="eastAsia"/>
              </w:rPr>
              <w:t>968</w:t>
            </w:r>
          </w:p>
        </w:tc>
        <w:tc>
          <w:tcPr>
            <w:tcW w:w="1084" w:type="dxa"/>
            <w:shd w:val="clear" w:color="000000" w:fill="DDEBF7"/>
            <w:noWrap/>
            <w:vAlign w:val="bottom"/>
          </w:tcPr>
          <w:p w14:paraId="31AA0AE1">
            <w:pPr>
              <w:pStyle w:val="40"/>
            </w:pPr>
            <w:r>
              <w:rPr>
                <w:rFonts w:hint="eastAsia"/>
              </w:rPr>
              <w:t>166</w:t>
            </w:r>
          </w:p>
        </w:tc>
        <w:tc>
          <w:tcPr>
            <w:tcW w:w="1084" w:type="dxa"/>
            <w:shd w:val="clear" w:color="000000" w:fill="DDEBF7"/>
            <w:noWrap/>
            <w:vAlign w:val="bottom"/>
          </w:tcPr>
          <w:p w14:paraId="6D079D8D">
            <w:pPr>
              <w:pStyle w:val="40"/>
            </w:pPr>
            <w:r>
              <w:rPr>
                <w:rFonts w:hint="eastAsia"/>
              </w:rPr>
              <w:t>315</w:t>
            </w:r>
          </w:p>
        </w:tc>
        <w:tc>
          <w:tcPr>
            <w:tcW w:w="1084" w:type="dxa"/>
            <w:shd w:val="clear" w:color="000000" w:fill="DDEBF7"/>
            <w:noWrap/>
            <w:vAlign w:val="bottom"/>
          </w:tcPr>
          <w:p w14:paraId="229D2965">
            <w:pPr>
              <w:pStyle w:val="40"/>
            </w:pPr>
            <w:r>
              <w:rPr>
                <w:rFonts w:hint="eastAsia"/>
              </w:rPr>
              <w:t>807</w:t>
            </w:r>
          </w:p>
        </w:tc>
        <w:tc>
          <w:tcPr>
            <w:tcW w:w="1085" w:type="dxa"/>
            <w:shd w:val="clear" w:color="000000" w:fill="DDEBF7"/>
            <w:noWrap/>
            <w:vAlign w:val="bottom"/>
          </w:tcPr>
          <w:p w14:paraId="4F2ACE9B">
            <w:pPr>
              <w:pStyle w:val="40"/>
            </w:pPr>
            <w:r>
              <w:rPr>
                <w:rFonts w:hint="eastAsia"/>
              </w:rPr>
              <w:t>909</w:t>
            </w:r>
          </w:p>
        </w:tc>
      </w:tr>
      <w:tr w14:paraId="2F21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 w:type="dxa"/>
            <w:vMerge w:val="continue"/>
            <w:vAlign w:val="center"/>
          </w:tcPr>
          <w:p w14:paraId="249D71B3">
            <w:pPr>
              <w:pStyle w:val="40"/>
            </w:pPr>
          </w:p>
        </w:tc>
        <w:tc>
          <w:tcPr>
            <w:tcW w:w="1084" w:type="dxa"/>
            <w:shd w:val="clear" w:color="000000" w:fill="DDEBF7"/>
            <w:noWrap/>
            <w:vAlign w:val="bottom"/>
          </w:tcPr>
          <w:p w14:paraId="4BD58A5F">
            <w:pPr>
              <w:pStyle w:val="40"/>
            </w:pPr>
            <w:r>
              <w:rPr>
                <w:rFonts w:hint="eastAsia"/>
              </w:rPr>
              <w:t>2025</w:t>
            </w:r>
          </w:p>
        </w:tc>
        <w:tc>
          <w:tcPr>
            <w:tcW w:w="1084" w:type="dxa"/>
            <w:shd w:val="clear" w:color="000000" w:fill="DDEBF7"/>
            <w:noWrap/>
            <w:vAlign w:val="bottom"/>
          </w:tcPr>
          <w:p w14:paraId="76A9C7DE">
            <w:pPr>
              <w:pStyle w:val="40"/>
            </w:pPr>
            <w:r>
              <w:rPr>
                <w:rFonts w:hint="eastAsia"/>
              </w:rPr>
              <w:t>1879</w:t>
            </w:r>
          </w:p>
        </w:tc>
        <w:tc>
          <w:tcPr>
            <w:tcW w:w="1084" w:type="dxa"/>
            <w:shd w:val="clear" w:color="000000" w:fill="DDEBF7"/>
            <w:noWrap/>
            <w:vAlign w:val="bottom"/>
          </w:tcPr>
          <w:p w14:paraId="07EA9FFD">
            <w:pPr>
              <w:pStyle w:val="40"/>
            </w:pPr>
            <w:r>
              <w:rPr>
                <w:rFonts w:hint="eastAsia"/>
              </w:rPr>
              <w:t>717</w:t>
            </w:r>
          </w:p>
        </w:tc>
        <w:tc>
          <w:tcPr>
            <w:tcW w:w="1084" w:type="dxa"/>
            <w:shd w:val="clear" w:color="000000" w:fill="DDEBF7"/>
            <w:noWrap/>
            <w:vAlign w:val="bottom"/>
          </w:tcPr>
          <w:p w14:paraId="12DA80F5">
            <w:pPr>
              <w:pStyle w:val="40"/>
            </w:pPr>
            <w:r>
              <w:rPr>
                <w:rFonts w:hint="eastAsia"/>
              </w:rPr>
              <w:t>991</w:t>
            </w:r>
          </w:p>
        </w:tc>
        <w:tc>
          <w:tcPr>
            <w:tcW w:w="1084" w:type="dxa"/>
            <w:shd w:val="clear" w:color="000000" w:fill="DDEBF7"/>
            <w:noWrap/>
            <w:vAlign w:val="bottom"/>
          </w:tcPr>
          <w:p w14:paraId="55919D96">
            <w:pPr>
              <w:pStyle w:val="40"/>
            </w:pPr>
            <w:r>
              <w:rPr>
                <w:rFonts w:hint="eastAsia"/>
              </w:rPr>
              <w:t>171</w:t>
            </w:r>
          </w:p>
        </w:tc>
        <w:tc>
          <w:tcPr>
            <w:tcW w:w="1084" w:type="dxa"/>
            <w:shd w:val="clear" w:color="000000" w:fill="DDEBF7"/>
            <w:noWrap/>
            <w:vAlign w:val="bottom"/>
          </w:tcPr>
          <w:p w14:paraId="09DE9DC4">
            <w:pPr>
              <w:pStyle w:val="40"/>
            </w:pPr>
            <w:r>
              <w:rPr>
                <w:rFonts w:hint="eastAsia"/>
              </w:rPr>
              <w:t>320</w:t>
            </w:r>
          </w:p>
        </w:tc>
        <w:tc>
          <w:tcPr>
            <w:tcW w:w="1084" w:type="dxa"/>
            <w:shd w:val="clear" w:color="000000" w:fill="DDEBF7"/>
            <w:noWrap/>
            <w:vAlign w:val="bottom"/>
          </w:tcPr>
          <w:p w14:paraId="02A22B9D">
            <w:pPr>
              <w:pStyle w:val="40"/>
            </w:pPr>
            <w:r>
              <w:rPr>
                <w:rFonts w:hint="eastAsia"/>
              </w:rPr>
              <w:t>840</w:t>
            </w:r>
          </w:p>
        </w:tc>
        <w:tc>
          <w:tcPr>
            <w:tcW w:w="1085" w:type="dxa"/>
            <w:shd w:val="clear" w:color="000000" w:fill="DDEBF7"/>
            <w:noWrap/>
            <w:vAlign w:val="bottom"/>
          </w:tcPr>
          <w:p w14:paraId="46D4C03B">
            <w:pPr>
              <w:pStyle w:val="40"/>
            </w:pPr>
            <w:r>
              <w:rPr>
                <w:rFonts w:hint="eastAsia"/>
              </w:rPr>
              <w:t>948</w:t>
            </w:r>
          </w:p>
        </w:tc>
      </w:tr>
    </w:tbl>
    <w:p w14:paraId="721E67BB"/>
    <w:p w14:paraId="2699ACC2">
      <w:pPr>
        <w:pStyle w:val="57"/>
      </w:pPr>
      <w:r>
        <w:t>3.</w:t>
      </w:r>
      <w:r>
        <w:rPr>
          <w:rFonts w:hint="eastAsia"/>
        </w:rPr>
        <w:t>建筑碳排放</w:t>
      </w:r>
    </w:p>
    <w:p w14:paraId="6B199344">
      <w:pPr>
        <w:spacing w:line="400" w:lineRule="exact"/>
      </w:pPr>
      <w:r>
        <w:rPr>
          <w:rFonts w:hint="eastAsia"/>
        </w:rPr>
        <w:t>二氧化碳排放总量由能源活动的直接二氧化碳排放量与电力和供暖所产生的间接二氧化碳排放量加总得到，即：</w:t>
      </w:r>
    </w:p>
    <w:p w14:paraId="6DB6AF8B">
      <w:pPr>
        <w:jc w:val="right"/>
      </w:pPr>
      <m:oMathPara>
        <m:oMath>
          <m:sSub>
            <m:sSubPr>
              <m:ctrlPr>
                <w:rPr>
                  <w:rFonts w:ascii="Cambria Math" w:hAnsi="Cambria Math"/>
                </w:rPr>
              </m:ctrlPr>
            </m:sSubPr>
            <m:e>
              <m:r>
                <m:rPr/>
                <w:rPr>
                  <w:rFonts w:ascii="Cambria Math" w:hAnsi="Cambria Math"/>
                </w:rPr>
                <m:t>CO</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CO</m:t>
              </m:r>
              <m:ctrlPr>
                <w:rPr>
                  <w:rFonts w:ascii="Cambria Math" w:hAnsi="Cambria Math"/>
                </w:rPr>
              </m:ctrlPr>
            </m:e>
            <m:sub>
              <m:r>
                <m:rPr>
                  <m:sty m:val="p"/>
                </m:rPr>
                <w:rPr>
                  <w:rFonts w:ascii="Cambria Math" w:hAnsi="Cambria Math"/>
                </w:rPr>
                <m:t>2,</m:t>
              </m:r>
              <m:r>
                <m:rPr>
                  <m:sty m:val="p"/>
                </m:rPr>
                <w:rPr>
                  <w:rFonts w:hint="eastAsia" w:ascii="Cambria Math" w:hAnsi="Cambria Math"/>
                </w:rPr>
                <m:t>直接</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CO</m:t>
              </m:r>
              <m:ctrlPr>
                <w:rPr>
                  <w:rFonts w:ascii="Cambria Math" w:hAnsi="Cambria Math"/>
                </w:rPr>
              </m:ctrlPr>
            </m:e>
            <m:sub>
              <m:r>
                <m:rPr>
                  <m:sty m:val="p"/>
                </m:rPr>
                <w:rPr>
                  <w:rFonts w:ascii="Cambria Math" w:hAnsi="Cambria Math"/>
                </w:rPr>
                <m:t>2,</m:t>
              </m:r>
              <m:r>
                <m:rPr>
                  <m:sty m:val="p"/>
                </m:rPr>
                <w:rPr>
                  <w:rFonts w:hint="eastAsia" w:ascii="Cambria Math" w:hAnsi="Cambria Math"/>
                </w:rPr>
                <m:t>间接</m:t>
              </m:r>
              <m:ctrlPr>
                <w:rPr>
                  <w:rFonts w:ascii="Cambria Math" w:hAnsi="Cambria Math"/>
                </w:rPr>
              </m:ctrlPr>
            </m:sub>
          </m:sSub>
        </m:oMath>
      </m:oMathPara>
    </w:p>
    <w:p w14:paraId="3A8AAC3A">
      <w:pPr>
        <w:jc w:val="right"/>
      </w:pPr>
      <m:oMath>
        <m:r>
          <m:rPr>
            <m:sty m:val="p"/>
          </m:rPr>
          <w:rPr>
            <w:rFonts w:ascii="Cambria Math" w:hAnsi="Cambria Math"/>
          </w:rPr>
          <m:t xml:space="preserve"> =</m:t>
        </m:r>
        <m:sSub>
          <m:sSubPr>
            <m:ctrlPr>
              <w:rPr>
                <w:rFonts w:ascii="Cambria Math" w:hAnsi="Cambria Math"/>
              </w:rPr>
            </m:ctrlPr>
          </m:sSubPr>
          <m:e>
            <m:r>
              <m:rPr/>
              <w:rPr>
                <w:rFonts w:ascii="Cambria Math" w:hAnsi="Cambria Math"/>
              </w:rPr>
              <m:t>CO</m:t>
            </m:r>
            <m:ctrlPr>
              <w:rPr>
                <w:rFonts w:ascii="Cambria Math" w:hAnsi="Cambria Math"/>
              </w:rPr>
            </m:ctrlPr>
          </m:e>
          <m:sub>
            <m:r>
              <m:rPr>
                <m:sty m:val="p"/>
              </m:rPr>
              <w:rPr>
                <w:rFonts w:ascii="Cambria Math" w:hAnsi="Cambria Math"/>
              </w:rPr>
              <m:t>2,</m:t>
            </m:r>
            <m:r>
              <m:rPr>
                <m:sty m:val="p"/>
              </m:rPr>
              <w:rPr>
                <w:rFonts w:hint="eastAsia" w:ascii="Cambria Math" w:hAnsi="Cambria Math"/>
              </w:rPr>
              <m:t>直接</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CO</m:t>
            </m:r>
            <m:ctrlPr>
              <w:rPr>
                <w:rFonts w:ascii="Cambria Math" w:hAnsi="Cambria Math"/>
              </w:rPr>
            </m:ctrlPr>
          </m:e>
          <m:sub>
            <m:r>
              <m:rPr>
                <m:sty m:val="p"/>
              </m:rPr>
              <w:rPr>
                <w:rFonts w:ascii="Cambria Math" w:hAnsi="Cambria Math"/>
              </w:rPr>
              <m:t>2,</m:t>
            </m:r>
            <m:r>
              <m:rPr>
                <m:sty m:val="p"/>
              </m:rPr>
              <w:rPr>
                <w:rFonts w:hint="eastAsia" w:ascii="Cambria Math" w:hAnsi="Cambria Math"/>
              </w:rPr>
              <m:t>电力</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CO</m:t>
            </m:r>
            <m:ctrlPr>
              <w:rPr>
                <w:rFonts w:ascii="Cambria Math" w:hAnsi="Cambria Math"/>
              </w:rPr>
            </m:ctrlPr>
          </m:e>
          <m:sub>
            <m:r>
              <m:rPr>
                <m:sty m:val="p"/>
              </m:rPr>
              <w:rPr>
                <w:rFonts w:ascii="Cambria Math" w:hAnsi="Cambria Math"/>
              </w:rPr>
              <m:t>2,</m:t>
            </m:r>
            <m:r>
              <m:rPr>
                <m:sty m:val="p"/>
              </m:rPr>
              <w:rPr>
                <w:rFonts w:hint="eastAsia" w:ascii="Cambria Math" w:hAnsi="Cambria Math"/>
              </w:rPr>
              <m:t>采暖</m:t>
            </m:r>
            <m:ctrlPr>
              <w:rPr>
                <w:rFonts w:ascii="Cambria Math" w:hAnsi="Cambria Math"/>
              </w:rPr>
            </m:ctrlPr>
          </m:sub>
        </m:sSub>
      </m:oMath>
      <w:r>
        <w:t xml:space="preserve">        </w:t>
      </w:r>
      <w:r>
        <w:rPr>
          <w:rFonts w:hint="eastAsia"/>
        </w:rPr>
        <w:t>（</w:t>
      </w:r>
      <w:r>
        <w:t>C-1</w:t>
      </w:r>
      <w:r>
        <w:rPr>
          <w:rFonts w:hint="eastAsia"/>
        </w:rPr>
        <w:t>）</w:t>
      </w:r>
    </w:p>
    <w:p w14:paraId="05A6BBA7">
      <w:pPr>
        <w:spacing w:line="400" w:lineRule="exact"/>
      </w:pPr>
      <w:r>
        <w:rPr>
          <w:rFonts w:hint="eastAsia"/>
        </w:rPr>
        <w:t>沈阳市建筑运行阶段，二氧化碳排放主要来自于电力和集中采暖所产生的间接排放。</w:t>
      </w:r>
    </w:p>
    <w:p w14:paraId="5CBD03DA">
      <w:pPr>
        <w:pStyle w:val="61"/>
        <w:ind w:firstLine="0"/>
      </w:pPr>
      <w:r>
        <w:t xml:space="preserve">3.1 </w:t>
      </w:r>
      <w:r>
        <w:rPr>
          <w:rFonts w:hint="eastAsia"/>
        </w:rPr>
        <w:t>历史碳排放测算</w:t>
      </w:r>
    </w:p>
    <w:p w14:paraId="2EBACAAC">
      <w:pPr>
        <w:spacing w:line="400" w:lineRule="exact"/>
      </w:pPr>
      <w:r>
        <w:rPr>
          <w:rFonts w:hint="eastAsia"/>
        </w:rPr>
        <w:t>能源活动的二氧化碳排放量可以根据不同种类能源的消费量和二氧化碳排放因子计算得到，即：</w:t>
      </w:r>
    </w:p>
    <w:p w14:paraId="54E699A3">
      <w:pPr>
        <w:jc w:val="right"/>
      </w:pPr>
      <m:oMath>
        <m:sSub>
          <m:sSubPr>
            <m:ctrlPr>
              <w:rPr>
                <w:rFonts w:ascii="Cambria Math" w:hAnsi="Cambria Math"/>
              </w:rPr>
            </m:ctrlPr>
          </m:sSubPr>
          <m:e>
            <m:r>
              <m:rPr/>
              <w:rPr>
                <w:rFonts w:ascii="Cambria Math" w:hAnsi="Cambria Math"/>
              </w:rPr>
              <m:t>CO</m:t>
            </m:r>
            <m:ctrlPr>
              <w:rPr>
                <w:rFonts w:ascii="Cambria Math" w:hAnsi="Cambria Math"/>
              </w:rPr>
            </m:ctrlPr>
          </m:e>
          <m:sub>
            <m:r>
              <m:rPr>
                <m:sty m:val="p"/>
              </m:rPr>
              <w:rPr>
                <w:rFonts w:ascii="Cambria Math" w:hAnsi="Cambria Math"/>
              </w:rPr>
              <m:t>2,</m:t>
            </m:r>
            <m:r>
              <m:rPr>
                <m:sty m:val="p"/>
              </m:rPr>
              <w:rPr>
                <w:rFonts w:hint="eastAsia" w:ascii="Cambria Math" w:hAnsi="Cambria Math"/>
              </w:rPr>
              <m:t>直接</m:t>
            </m:r>
            <m:ctrlPr>
              <w:rPr>
                <w:rFonts w:ascii="Cambria Math" w:hAnsi="Cambria Math"/>
              </w:rPr>
            </m:ctrlPr>
          </m:sub>
        </m:sSub>
        <m:r>
          <m:rPr>
            <m:sty m:val="p"/>
          </m:rPr>
          <w:rPr>
            <w:rFonts w:ascii="Cambria Math" w:hAnsi="Cambria Math"/>
          </w:rPr>
          <m:t>=</m:t>
        </m:r>
        <m:nary>
          <m:naryPr>
            <m:chr m:val="∑"/>
            <m:subHide m:val="1"/>
            <m:supHide m:val="1"/>
            <m:ctrlPr>
              <w:rPr>
                <w:rFonts w:ascii="Cambria Math" w:hAnsi="Cambria Math"/>
              </w:rPr>
            </m:ctrlPr>
          </m:naryPr>
          <m:sub>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i</m:t>
                </m:r>
                <m:ctrlPr>
                  <w:rPr>
                    <w:rFonts w:ascii="Cambria Math" w:hAnsi="Cambria Math"/>
                  </w:rPr>
                </m:ctrlPr>
              </m:sub>
            </m:sSub>
            <m:sSub>
              <m:sSubPr>
                <m:ctrlPr>
                  <w:rPr>
                    <w:rFonts w:ascii="Cambria Math" w:hAnsi="Cambria Math"/>
                  </w:rPr>
                </m:ctrlPr>
              </m:sSubPr>
              <m:e>
                <m:r>
                  <m:rPr>
                    <m:sty m:val="p"/>
                  </m:rPr>
                  <w:rPr>
                    <w:rFonts w:ascii="Cambria Math" w:hAnsi="Cambria Math"/>
                  </w:rPr>
                  <m:t>×</m:t>
                </m:r>
                <m:r>
                  <m:rPr/>
                  <w:rPr>
                    <w:rFonts w:ascii="Cambria Math" w:hAnsi="Cambria Math"/>
                  </w:rPr>
                  <m:t>EF</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nary>
      </m:oMath>
      <w:r>
        <w:t xml:space="preserve">                    </w:t>
      </w:r>
      <w:r>
        <w:rPr>
          <w:rFonts w:hint="eastAsia"/>
        </w:rPr>
        <w:t>（</w:t>
      </w:r>
      <w:r>
        <w:t>C-2</w:t>
      </w:r>
      <w:r>
        <w:rPr>
          <w:rFonts w:hint="eastAsia"/>
        </w:rPr>
        <w:t>）</w:t>
      </w:r>
    </w:p>
    <w:p w14:paraId="1D86D88A">
      <w:pPr>
        <w:spacing w:line="400" w:lineRule="exact"/>
      </w:pPr>
      <w:r>
        <w:rPr>
          <w:rFonts w:hint="eastAsia"/>
        </w:rPr>
        <w:t>其中，</w:t>
      </w:r>
      <w:r>
        <w:t>Ai</w:t>
      </w:r>
      <w:r>
        <w:rPr>
          <w:rFonts w:hint="eastAsia"/>
        </w:rPr>
        <w:t>表示不同种类能源的消费量（标准量），可由能源平衡表计算得到。</w:t>
      </w:r>
      <w:r>
        <w:t>EFi</w:t>
      </w:r>
      <w:r>
        <w:rPr>
          <w:rFonts w:hint="eastAsia"/>
        </w:rPr>
        <w:t>表示不同种类化石能源所对应的二氧化碳排放因子，该值采用国家生态环保部门提供的排放因子数据，其中煤炭为</w:t>
      </w:r>
      <w:r>
        <w:t>2.66</w:t>
      </w:r>
      <w:r>
        <w:rPr>
          <w:rFonts w:hint="eastAsia"/>
        </w:rPr>
        <w:t>吨</w:t>
      </w:r>
      <w:r>
        <w:t>CO2/</w:t>
      </w:r>
      <w:r>
        <w:rPr>
          <w:rFonts w:hint="eastAsia"/>
        </w:rPr>
        <w:t>吨标准煤，油品为</w:t>
      </w:r>
      <w:r>
        <w:t>1.73</w:t>
      </w:r>
      <w:r>
        <w:rPr>
          <w:rFonts w:hint="eastAsia"/>
        </w:rPr>
        <w:t>吨</w:t>
      </w:r>
      <w:r>
        <w:t>CO2/</w:t>
      </w:r>
      <w:r>
        <w:rPr>
          <w:rFonts w:hint="eastAsia"/>
        </w:rPr>
        <w:t>吨标准煤，天然气为</w:t>
      </w:r>
      <w:r>
        <w:t>1.56</w:t>
      </w:r>
      <w:r>
        <w:rPr>
          <w:rFonts w:hint="eastAsia"/>
        </w:rPr>
        <w:t>吨</w:t>
      </w:r>
      <w:r>
        <w:t>CO2/</w:t>
      </w:r>
      <w:r>
        <w:rPr>
          <w:rFonts w:hint="eastAsia"/>
        </w:rPr>
        <w:t>吨标准煤。</w:t>
      </w:r>
    </w:p>
    <w:p w14:paraId="0BBE2AAC">
      <w:pPr>
        <w:spacing w:line="400" w:lineRule="exact"/>
      </w:pPr>
      <w:r>
        <w:rPr>
          <w:rFonts w:hint="eastAsia"/>
        </w:rPr>
        <w:t>计算流程如下图所示。</w:t>
      </w:r>
    </w:p>
    <w:p w14:paraId="417DCF3B">
      <w:pPr>
        <w:jc w:val="center"/>
        <w:rPr>
          <w:rFonts w:ascii="宋体" w:hAnsi="宋体" w:cs="宋体"/>
          <w:szCs w:val="28"/>
        </w:rPr>
      </w:pPr>
      <w:r>
        <w:rPr>
          <w:rFonts w:ascii="宋体" w:hAnsi="宋体" w:cs="宋体"/>
          <w:szCs w:val="28"/>
        </w:rPr>
        <w:drawing>
          <wp:inline distT="0" distB="0" distL="0" distR="0">
            <wp:extent cx="5274310" cy="846455"/>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52"/>
                    <a:stretch>
                      <a:fillRect/>
                    </a:stretch>
                  </pic:blipFill>
                  <pic:spPr>
                    <a:xfrm>
                      <a:off x="0" y="0"/>
                      <a:ext cx="5274310" cy="846455"/>
                    </a:xfrm>
                    <a:prstGeom prst="rect">
                      <a:avLst/>
                    </a:prstGeom>
                  </pic:spPr>
                </pic:pic>
              </a:graphicData>
            </a:graphic>
          </wp:inline>
        </w:drawing>
      </w:r>
    </w:p>
    <w:p w14:paraId="4269D1A9">
      <w:pPr>
        <w:spacing w:line="400" w:lineRule="exact"/>
      </w:pPr>
      <w:r>
        <w:rPr>
          <w:rFonts w:hint="eastAsia"/>
        </w:rPr>
        <w:t>沈阳市集中采暖的主要形式是热电联产和燃煤锅炉，燃气锅炉、燃气壁挂炉与电供暖等形式供暖占比很少，根据各种采暖形式的应用面积占比，测算综合的集中采暖碳排放因子为</w:t>
      </w:r>
      <w:r>
        <w:t>0.1042</w:t>
      </w:r>
      <w:r>
        <w:rPr>
          <w:rFonts w:hint="eastAsia"/>
        </w:rPr>
        <w:t>吨</w:t>
      </w:r>
      <w:r>
        <w:t>CO2/</w:t>
      </w:r>
      <w:r>
        <w:rPr>
          <w:rFonts w:hint="eastAsia"/>
        </w:rPr>
        <w:t>吉焦。</w:t>
      </w:r>
    </w:p>
    <w:p w14:paraId="0A3D1D94">
      <w:pPr>
        <w:spacing w:line="400" w:lineRule="exact"/>
      </w:pPr>
      <w:r>
        <w:rPr>
          <w:rFonts w:hint="eastAsia"/>
        </w:rPr>
        <w:t>根据发改委和《省级温室气体清单编制指南》查询到的</w:t>
      </w:r>
      <w:r>
        <w:t>2011</w:t>
      </w:r>
      <w:r>
        <w:rPr>
          <w:rFonts w:hint="eastAsia"/>
        </w:rPr>
        <w:t>及</w:t>
      </w:r>
      <w:r>
        <w:t>2012</w:t>
      </w:r>
      <w:r>
        <w:rPr>
          <w:rFonts w:hint="eastAsia"/>
        </w:rPr>
        <w:t>年全国区域电网平均</w:t>
      </w:r>
      <w:r>
        <w:t>CO2</w:t>
      </w:r>
      <w:r>
        <w:rPr>
          <w:rFonts w:hint="eastAsia"/>
        </w:rPr>
        <w:t>排放因子（</w:t>
      </w:r>
      <w:r>
        <w:t>kgCO2/kWh</w:t>
      </w:r>
      <w:r>
        <w:rPr>
          <w:rFonts w:hint="eastAsia"/>
        </w:rPr>
        <w:t>），本研究选取</w:t>
      </w:r>
      <w:r>
        <w:t>0.7769 kgCO2/kWh</w:t>
      </w:r>
      <w:r>
        <w:rPr>
          <w:rFonts w:hint="eastAsia"/>
        </w:rPr>
        <w:t>，作为沈阳地区初始的电力碳排放系数。</w:t>
      </w:r>
    </w:p>
    <w:p w14:paraId="1F61424D">
      <w:r>
        <w:rPr>
          <w:rFonts w:hint="eastAsia"/>
        </w:rPr>
        <w:t>表</w:t>
      </w:r>
      <w:r>
        <w:t>8-6</w:t>
      </w:r>
    </w:p>
    <w:tbl>
      <w:tblPr>
        <w:tblStyle w:val="20"/>
        <w:tblW w:w="5000" w:type="pct"/>
        <w:tblInd w:w="0" w:type="dxa"/>
        <w:tblLayout w:type="autofit"/>
        <w:tblCellMar>
          <w:top w:w="0" w:type="dxa"/>
          <w:left w:w="108" w:type="dxa"/>
          <w:bottom w:w="0" w:type="dxa"/>
          <w:right w:w="108" w:type="dxa"/>
        </w:tblCellMar>
      </w:tblPr>
      <w:tblGrid>
        <w:gridCol w:w="1638"/>
        <w:gridCol w:w="4904"/>
        <w:gridCol w:w="990"/>
        <w:gridCol w:w="990"/>
      </w:tblGrid>
      <w:tr w14:paraId="511F69F6">
        <w:tblPrEx>
          <w:tblCellMar>
            <w:top w:w="0" w:type="dxa"/>
            <w:left w:w="108" w:type="dxa"/>
            <w:bottom w:w="0" w:type="dxa"/>
            <w:right w:w="108" w:type="dxa"/>
          </w:tblCellMar>
        </w:tblPrEx>
        <w:trPr>
          <w:trHeight w:val="285" w:hRule="atLeast"/>
        </w:trPr>
        <w:tc>
          <w:tcPr>
            <w:tcW w:w="961" w:type="pct"/>
            <w:tcBorders>
              <w:top w:val="single" w:color="auto" w:sz="8" w:space="0"/>
              <w:left w:val="nil"/>
              <w:bottom w:val="single" w:color="auto" w:sz="8" w:space="0"/>
              <w:right w:val="nil"/>
            </w:tcBorders>
            <w:shd w:val="clear" w:color="auto" w:fill="auto"/>
            <w:vAlign w:val="center"/>
          </w:tcPr>
          <w:p w14:paraId="63F79A30">
            <w:pPr>
              <w:widowControl/>
              <w:suppressAutoHyphens w:val="0"/>
              <w:spacing w:line="240" w:lineRule="auto"/>
              <w:ind w:firstLine="0" w:firstLineChars="0"/>
              <w:jc w:val="center"/>
              <w:rPr>
                <w:rFonts w:cs="宋体"/>
                <w:b/>
                <w:bCs/>
                <w:color w:val="000000"/>
                <w:kern w:val="0"/>
                <w:sz w:val="21"/>
                <w:szCs w:val="21"/>
              </w:rPr>
            </w:pPr>
            <w:r>
              <w:rPr>
                <w:rFonts w:hint="eastAsia" w:cs="宋体"/>
                <w:b/>
                <w:bCs/>
                <w:color w:val="000000"/>
                <w:kern w:val="0"/>
                <w:sz w:val="21"/>
                <w:szCs w:val="21"/>
              </w:rPr>
              <w:t>区域电网</w:t>
            </w:r>
          </w:p>
        </w:tc>
        <w:tc>
          <w:tcPr>
            <w:tcW w:w="2877" w:type="pct"/>
            <w:tcBorders>
              <w:top w:val="single" w:color="auto" w:sz="8" w:space="0"/>
              <w:left w:val="nil"/>
              <w:bottom w:val="single" w:color="auto" w:sz="8" w:space="0"/>
              <w:right w:val="nil"/>
            </w:tcBorders>
            <w:shd w:val="clear" w:color="auto" w:fill="auto"/>
            <w:vAlign w:val="center"/>
          </w:tcPr>
          <w:p w14:paraId="6E7B555B">
            <w:pPr>
              <w:widowControl/>
              <w:suppressAutoHyphens w:val="0"/>
              <w:spacing w:line="240" w:lineRule="auto"/>
              <w:ind w:firstLine="0" w:firstLineChars="0"/>
              <w:jc w:val="center"/>
              <w:rPr>
                <w:rFonts w:cs="宋体"/>
                <w:b/>
                <w:bCs/>
                <w:color w:val="000000"/>
                <w:kern w:val="0"/>
                <w:sz w:val="21"/>
                <w:szCs w:val="21"/>
              </w:rPr>
            </w:pPr>
            <w:r>
              <w:rPr>
                <w:rFonts w:hint="eastAsia" w:cs="宋体"/>
                <w:b/>
                <w:bCs/>
                <w:color w:val="000000"/>
                <w:kern w:val="0"/>
                <w:sz w:val="21"/>
                <w:szCs w:val="21"/>
              </w:rPr>
              <w:t>覆盖省市</w:t>
            </w:r>
          </w:p>
        </w:tc>
        <w:tc>
          <w:tcPr>
            <w:tcW w:w="581" w:type="pct"/>
            <w:tcBorders>
              <w:top w:val="single" w:color="auto" w:sz="8" w:space="0"/>
              <w:left w:val="nil"/>
              <w:bottom w:val="single" w:color="auto" w:sz="8" w:space="0"/>
              <w:right w:val="nil"/>
            </w:tcBorders>
            <w:shd w:val="clear" w:color="auto" w:fill="auto"/>
            <w:vAlign w:val="center"/>
          </w:tcPr>
          <w:p w14:paraId="6BDFFC09">
            <w:pPr>
              <w:widowControl/>
              <w:suppressAutoHyphens w:val="0"/>
              <w:spacing w:line="240" w:lineRule="auto"/>
              <w:ind w:firstLine="0" w:firstLineChars="0"/>
              <w:jc w:val="center"/>
              <w:rPr>
                <w:b/>
                <w:bCs/>
                <w:color w:val="000000"/>
                <w:kern w:val="0"/>
                <w:sz w:val="21"/>
                <w:szCs w:val="21"/>
              </w:rPr>
            </w:pPr>
            <w:r>
              <w:rPr>
                <w:b/>
                <w:bCs/>
                <w:color w:val="000000"/>
                <w:kern w:val="0"/>
                <w:sz w:val="21"/>
                <w:szCs w:val="21"/>
              </w:rPr>
              <w:t>2011</w:t>
            </w:r>
            <w:r>
              <w:rPr>
                <w:rFonts w:hint="eastAsia"/>
                <w:b/>
                <w:bCs/>
                <w:color w:val="000000"/>
                <w:kern w:val="0"/>
                <w:sz w:val="21"/>
                <w:szCs w:val="21"/>
              </w:rPr>
              <w:t>年</w:t>
            </w:r>
          </w:p>
        </w:tc>
        <w:tc>
          <w:tcPr>
            <w:tcW w:w="581" w:type="pct"/>
            <w:tcBorders>
              <w:top w:val="single" w:color="auto" w:sz="8" w:space="0"/>
              <w:left w:val="nil"/>
              <w:bottom w:val="single" w:color="auto" w:sz="8" w:space="0"/>
              <w:right w:val="nil"/>
            </w:tcBorders>
            <w:shd w:val="clear" w:color="auto" w:fill="auto"/>
            <w:vAlign w:val="center"/>
          </w:tcPr>
          <w:p w14:paraId="3FA413C5">
            <w:pPr>
              <w:widowControl/>
              <w:suppressAutoHyphens w:val="0"/>
              <w:spacing w:line="240" w:lineRule="auto"/>
              <w:ind w:firstLine="0" w:firstLineChars="0"/>
              <w:jc w:val="center"/>
              <w:rPr>
                <w:b/>
                <w:bCs/>
                <w:color w:val="000000"/>
                <w:kern w:val="0"/>
                <w:sz w:val="21"/>
                <w:szCs w:val="21"/>
              </w:rPr>
            </w:pPr>
            <w:r>
              <w:rPr>
                <w:b/>
                <w:bCs/>
                <w:color w:val="000000"/>
                <w:kern w:val="0"/>
                <w:sz w:val="21"/>
                <w:szCs w:val="21"/>
              </w:rPr>
              <w:t>2012</w:t>
            </w:r>
            <w:r>
              <w:rPr>
                <w:rFonts w:hint="eastAsia"/>
                <w:b/>
                <w:bCs/>
                <w:color w:val="000000"/>
                <w:kern w:val="0"/>
                <w:sz w:val="21"/>
                <w:szCs w:val="21"/>
              </w:rPr>
              <w:t>年</w:t>
            </w:r>
          </w:p>
        </w:tc>
      </w:tr>
      <w:tr w14:paraId="2B4818E2">
        <w:tblPrEx>
          <w:tblCellMar>
            <w:top w:w="0" w:type="dxa"/>
            <w:left w:w="108" w:type="dxa"/>
            <w:bottom w:w="0" w:type="dxa"/>
            <w:right w:w="108" w:type="dxa"/>
          </w:tblCellMar>
        </w:tblPrEx>
        <w:trPr>
          <w:trHeight w:val="397" w:hRule="atLeast"/>
        </w:trPr>
        <w:tc>
          <w:tcPr>
            <w:tcW w:w="961" w:type="pct"/>
            <w:tcBorders>
              <w:top w:val="nil"/>
              <w:left w:val="nil"/>
              <w:bottom w:val="single" w:color="auto" w:sz="8" w:space="0"/>
              <w:right w:val="nil"/>
            </w:tcBorders>
            <w:shd w:val="clear" w:color="auto" w:fill="auto"/>
            <w:vAlign w:val="center"/>
          </w:tcPr>
          <w:p w14:paraId="58DA03E9">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华北区域电网</w:t>
            </w:r>
          </w:p>
        </w:tc>
        <w:tc>
          <w:tcPr>
            <w:tcW w:w="2877" w:type="pct"/>
            <w:tcBorders>
              <w:top w:val="nil"/>
              <w:left w:val="nil"/>
              <w:bottom w:val="single" w:color="auto" w:sz="8" w:space="0"/>
              <w:right w:val="nil"/>
            </w:tcBorders>
            <w:shd w:val="clear" w:color="auto" w:fill="auto"/>
            <w:vAlign w:val="center"/>
          </w:tcPr>
          <w:p w14:paraId="35170105">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北京、天津、河北、山西、山东、内蒙古西部</w:t>
            </w:r>
          </w:p>
        </w:tc>
        <w:tc>
          <w:tcPr>
            <w:tcW w:w="581" w:type="pct"/>
            <w:tcBorders>
              <w:top w:val="nil"/>
              <w:left w:val="nil"/>
              <w:bottom w:val="single" w:color="auto" w:sz="8" w:space="0"/>
              <w:right w:val="nil"/>
            </w:tcBorders>
            <w:shd w:val="clear" w:color="auto" w:fill="auto"/>
            <w:vAlign w:val="center"/>
          </w:tcPr>
          <w:p w14:paraId="03FE8EAF">
            <w:pPr>
              <w:widowControl/>
              <w:suppressAutoHyphens w:val="0"/>
              <w:spacing w:line="240" w:lineRule="auto"/>
              <w:ind w:firstLine="0" w:firstLineChars="0"/>
              <w:jc w:val="center"/>
              <w:rPr>
                <w:color w:val="000000"/>
                <w:kern w:val="0"/>
                <w:sz w:val="21"/>
                <w:szCs w:val="21"/>
              </w:rPr>
            </w:pPr>
            <w:r>
              <w:rPr>
                <w:color w:val="000000"/>
                <w:kern w:val="0"/>
                <w:sz w:val="21"/>
                <w:szCs w:val="21"/>
              </w:rPr>
              <w:t>0.8967</w:t>
            </w:r>
          </w:p>
        </w:tc>
        <w:tc>
          <w:tcPr>
            <w:tcW w:w="581" w:type="pct"/>
            <w:tcBorders>
              <w:top w:val="nil"/>
              <w:left w:val="nil"/>
              <w:bottom w:val="single" w:color="auto" w:sz="8" w:space="0"/>
              <w:right w:val="nil"/>
            </w:tcBorders>
            <w:shd w:val="clear" w:color="auto" w:fill="auto"/>
            <w:vAlign w:val="center"/>
          </w:tcPr>
          <w:p w14:paraId="143AE302">
            <w:pPr>
              <w:widowControl/>
              <w:suppressAutoHyphens w:val="0"/>
              <w:spacing w:line="240" w:lineRule="auto"/>
              <w:ind w:firstLine="0" w:firstLineChars="0"/>
              <w:jc w:val="center"/>
              <w:rPr>
                <w:color w:val="000000"/>
                <w:kern w:val="0"/>
                <w:sz w:val="21"/>
                <w:szCs w:val="21"/>
              </w:rPr>
            </w:pPr>
            <w:r>
              <w:rPr>
                <w:color w:val="000000"/>
                <w:kern w:val="0"/>
                <w:sz w:val="21"/>
                <w:szCs w:val="21"/>
              </w:rPr>
              <w:t>0.8843</w:t>
            </w:r>
          </w:p>
        </w:tc>
      </w:tr>
      <w:tr w14:paraId="07D15303">
        <w:tblPrEx>
          <w:tblCellMar>
            <w:top w:w="0" w:type="dxa"/>
            <w:left w:w="108" w:type="dxa"/>
            <w:bottom w:w="0" w:type="dxa"/>
            <w:right w:w="108" w:type="dxa"/>
          </w:tblCellMar>
        </w:tblPrEx>
        <w:trPr>
          <w:trHeight w:val="397" w:hRule="atLeast"/>
        </w:trPr>
        <w:tc>
          <w:tcPr>
            <w:tcW w:w="961" w:type="pct"/>
            <w:tcBorders>
              <w:top w:val="nil"/>
              <w:left w:val="nil"/>
              <w:bottom w:val="single" w:color="auto" w:sz="8" w:space="0"/>
              <w:right w:val="nil"/>
            </w:tcBorders>
            <w:shd w:val="clear" w:color="auto" w:fill="auto"/>
            <w:vAlign w:val="center"/>
          </w:tcPr>
          <w:p w14:paraId="08D754A2">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华东区域电网</w:t>
            </w:r>
          </w:p>
        </w:tc>
        <w:tc>
          <w:tcPr>
            <w:tcW w:w="2877" w:type="pct"/>
            <w:tcBorders>
              <w:top w:val="nil"/>
              <w:left w:val="nil"/>
              <w:bottom w:val="single" w:color="auto" w:sz="8" w:space="0"/>
              <w:right w:val="nil"/>
            </w:tcBorders>
            <w:shd w:val="clear" w:color="auto" w:fill="auto"/>
            <w:vAlign w:val="center"/>
          </w:tcPr>
          <w:p w14:paraId="1E9247AA">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辽宁、吉林、黑龙江、内蒙古东部</w:t>
            </w:r>
          </w:p>
        </w:tc>
        <w:tc>
          <w:tcPr>
            <w:tcW w:w="581" w:type="pct"/>
            <w:tcBorders>
              <w:top w:val="nil"/>
              <w:left w:val="nil"/>
              <w:bottom w:val="single" w:color="auto" w:sz="8" w:space="0"/>
              <w:right w:val="nil"/>
            </w:tcBorders>
            <w:shd w:val="clear" w:color="auto" w:fill="auto"/>
            <w:vAlign w:val="center"/>
          </w:tcPr>
          <w:p w14:paraId="487B7660">
            <w:pPr>
              <w:widowControl/>
              <w:suppressAutoHyphens w:val="0"/>
              <w:spacing w:line="240" w:lineRule="auto"/>
              <w:ind w:firstLine="0" w:firstLineChars="0"/>
              <w:jc w:val="center"/>
              <w:rPr>
                <w:color w:val="000000"/>
                <w:kern w:val="0"/>
                <w:sz w:val="21"/>
                <w:szCs w:val="21"/>
              </w:rPr>
            </w:pPr>
            <w:r>
              <w:rPr>
                <w:color w:val="000000"/>
                <w:kern w:val="0"/>
                <w:sz w:val="21"/>
                <w:szCs w:val="21"/>
              </w:rPr>
              <w:t>0.8189</w:t>
            </w:r>
          </w:p>
        </w:tc>
        <w:tc>
          <w:tcPr>
            <w:tcW w:w="581" w:type="pct"/>
            <w:tcBorders>
              <w:top w:val="nil"/>
              <w:left w:val="nil"/>
              <w:bottom w:val="single" w:color="auto" w:sz="8" w:space="0"/>
              <w:right w:val="nil"/>
            </w:tcBorders>
            <w:shd w:val="clear" w:color="auto" w:fill="auto"/>
            <w:vAlign w:val="center"/>
          </w:tcPr>
          <w:p w14:paraId="60D85C56">
            <w:pPr>
              <w:widowControl/>
              <w:suppressAutoHyphens w:val="0"/>
              <w:spacing w:line="240" w:lineRule="auto"/>
              <w:ind w:firstLine="0" w:firstLineChars="0"/>
              <w:jc w:val="center"/>
              <w:rPr>
                <w:color w:val="000000"/>
                <w:kern w:val="0"/>
                <w:sz w:val="21"/>
                <w:szCs w:val="21"/>
              </w:rPr>
            </w:pPr>
            <w:r>
              <w:rPr>
                <w:color w:val="000000"/>
                <w:kern w:val="0"/>
                <w:sz w:val="21"/>
                <w:szCs w:val="21"/>
              </w:rPr>
              <w:t>0.7769</w:t>
            </w:r>
          </w:p>
        </w:tc>
      </w:tr>
      <w:tr w14:paraId="666697EB">
        <w:tblPrEx>
          <w:tblCellMar>
            <w:top w:w="0" w:type="dxa"/>
            <w:left w:w="108" w:type="dxa"/>
            <w:bottom w:w="0" w:type="dxa"/>
            <w:right w:w="108" w:type="dxa"/>
          </w:tblCellMar>
        </w:tblPrEx>
        <w:trPr>
          <w:trHeight w:val="397" w:hRule="atLeast"/>
        </w:trPr>
        <w:tc>
          <w:tcPr>
            <w:tcW w:w="961" w:type="pct"/>
            <w:tcBorders>
              <w:top w:val="nil"/>
              <w:left w:val="nil"/>
              <w:bottom w:val="single" w:color="auto" w:sz="8" w:space="0"/>
              <w:right w:val="nil"/>
            </w:tcBorders>
            <w:shd w:val="clear" w:color="auto" w:fill="auto"/>
            <w:vAlign w:val="center"/>
          </w:tcPr>
          <w:p w14:paraId="3F06339C">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东北区域电网</w:t>
            </w:r>
          </w:p>
        </w:tc>
        <w:tc>
          <w:tcPr>
            <w:tcW w:w="2877" w:type="pct"/>
            <w:tcBorders>
              <w:top w:val="nil"/>
              <w:left w:val="nil"/>
              <w:bottom w:val="single" w:color="auto" w:sz="8" w:space="0"/>
              <w:right w:val="nil"/>
            </w:tcBorders>
            <w:shd w:val="clear" w:color="auto" w:fill="auto"/>
            <w:vAlign w:val="center"/>
          </w:tcPr>
          <w:p w14:paraId="2D89CD11">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上海、江苏、浙江、安徽、福建</w:t>
            </w:r>
          </w:p>
        </w:tc>
        <w:tc>
          <w:tcPr>
            <w:tcW w:w="581" w:type="pct"/>
            <w:tcBorders>
              <w:top w:val="nil"/>
              <w:left w:val="nil"/>
              <w:bottom w:val="single" w:color="auto" w:sz="8" w:space="0"/>
              <w:right w:val="nil"/>
            </w:tcBorders>
            <w:shd w:val="clear" w:color="auto" w:fill="auto"/>
            <w:vAlign w:val="center"/>
          </w:tcPr>
          <w:p w14:paraId="058376CA">
            <w:pPr>
              <w:widowControl/>
              <w:suppressAutoHyphens w:val="0"/>
              <w:spacing w:line="240" w:lineRule="auto"/>
              <w:ind w:firstLine="0" w:firstLineChars="0"/>
              <w:jc w:val="center"/>
              <w:rPr>
                <w:color w:val="000000"/>
                <w:kern w:val="0"/>
                <w:sz w:val="21"/>
                <w:szCs w:val="21"/>
              </w:rPr>
            </w:pPr>
            <w:r>
              <w:rPr>
                <w:color w:val="000000"/>
                <w:kern w:val="0"/>
                <w:sz w:val="21"/>
                <w:szCs w:val="21"/>
              </w:rPr>
              <w:t>0.7129</w:t>
            </w:r>
          </w:p>
        </w:tc>
        <w:tc>
          <w:tcPr>
            <w:tcW w:w="581" w:type="pct"/>
            <w:tcBorders>
              <w:top w:val="nil"/>
              <w:left w:val="nil"/>
              <w:bottom w:val="single" w:color="auto" w:sz="8" w:space="0"/>
              <w:right w:val="nil"/>
            </w:tcBorders>
            <w:shd w:val="clear" w:color="auto" w:fill="auto"/>
            <w:vAlign w:val="center"/>
          </w:tcPr>
          <w:p w14:paraId="685183FF">
            <w:pPr>
              <w:widowControl/>
              <w:suppressAutoHyphens w:val="0"/>
              <w:spacing w:line="240" w:lineRule="auto"/>
              <w:ind w:firstLine="0" w:firstLineChars="0"/>
              <w:jc w:val="center"/>
              <w:rPr>
                <w:color w:val="000000"/>
                <w:kern w:val="0"/>
                <w:sz w:val="21"/>
                <w:szCs w:val="21"/>
              </w:rPr>
            </w:pPr>
            <w:r>
              <w:rPr>
                <w:color w:val="000000"/>
                <w:kern w:val="0"/>
                <w:sz w:val="21"/>
                <w:szCs w:val="21"/>
              </w:rPr>
              <w:t>0.7035</w:t>
            </w:r>
          </w:p>
        </w:tc>
      </w:tr>
      <w:tr w14:paraId="549000F8">
        <w:tblPrEx>
          <w:tblCellMar>
            <w:top w:w="0" w:type="dxa"/>
            <w:left w:w="108" w:type="dxa"/>
            <w:bottom w:w="0" w:type="dxa"/>
            <w:right w:w="108" w:type="dxa"/>
          </w:tblCellMar>
        </w:tblPrEx>
        <w:trPr>
          <w:trHeight w:val="397" w:hRule="atLeast"/>
        </w:trPr>
        <w:tc>
          <w:tcPr>
            <w:tcW w:w="961" w:type="pct"/>
            <w:tcBorders>
              <w:top w:val="nil"/>
              <w:left w:val="nil"/>
              <w:bottom w:val="single" w:color="auto" w:sz="8" w:space="0"/>
              <w:right w:val="nil"/>
            </w:tcBorders>
            <w:shd w:val="clear" w:color="auto" w:fill="auto"/>
            <w:vAlign w:val="center"/>
          </w:tcPr>
          <w:p w14:paraId="514D360E">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华中区域电网</w:t>
            </w:r>
          </w:p>
        </w:tc>
        <w:tc>
          <w:tcPr>
            <w:tcW w:w="2877" w:type="pct"/>
            <w:tcBorders>
              <w:top w:val="nil"/>
              <w:left w:val="nil"/>
              <w:bottom w:val="single" w:color="auto" w:sz="8" w:space="0"/>
              <w:right w:val="nil"/>
            </w:tcBorders>
            <w:shd w:val="clear" w:color="auto" w:fill="auto"/>
            <w:vAlign w:val="center"/>
          </w:tcPr>
          <w:p w14:paraId="41BB5EE6">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河南、湖北、湖南、江西、四川、重庆</w:t>
            </w:r>
          </w:p>
        </w:tc>
        <w:tc>
          <w:tcPr>
            <w:tcW w:w="581" w:type="pct"/>
            <w:tcBorders>
              <w:top w:val="nil"/>
              <w:left w:val="nil"/>
              <w:bottom w:val="single" w:color="auto" w:sz="8" w:space="0"/>
              <w:right w:val="nil"/>
            </w:tcBorders>
            <w:shd w:val="clear" w:color="auto" w:fill="auto"/>
            <w:vAlign w:val="center"/>
          </w:tcPr>
          <w:p w14:paraId="3D2AF6EB">
            <w:pPr>
              <w:widowControl/>
              <w:suppressAutoHyphens w:val="0"/>
              <w:spacing w:line="240" w:lineRule="auto"/>
              <w:ind w:firstLine="0" w:firstLineChars="0"/>
              <w:jc w:val="center"/>
              <w:rPr>
                <w:color w:val="000000"/>
                <w:kern w:val="0"/>
                <w:sz w:val="21"/>
                <w:szCs w:val="21"/>
              </w:rPr>
            </w:pPr>
            <w:r>
              <w:rPr>
                <w:color w:val="000000"/>
                <w:kern w:val="0"/>
                <w:sz w:val="21"/>
                <w:szCs w:val="21"/>
              </w:rPr>
              <w:t>0.5955</w:t>
            </w:r>
          </w:p>
        </w:tc>
        <w:tc>
          <w:tcPr>
            <w:tcW w:w="581" w:type="pct"/>
            <w:tcBorders>
              <w:top w:val="nil"/>
              <w:left w:val="nil"/>
              <w:bottom w:val="single" w:color="auto" w:sz="8" w:space="0"/>
              <w:right w:val="nil"/>
            </w:tcBorders>
            <w:shd w:val="clear" w:color="auto" w:fill="auto"/>
            <w:vAlign w:val="center"/>
          </w:tcPr>
          <w:p w14:paraId="39124A56">
            <w:pPr>
              <w:widowControl/>
              <w:suppressAutoHyphens w:val="0"/>
              <w:spacing w:line="240" w:lineRule="auto"/>
              <w:ind w:firstLine="0" w:firstLineChars="0"/>
              <w:jc w:val="center"/>
              <w:rPr>
                <w:color w:val="000000"/>
                <w:kern w:val="0"/>
                <w:sz w:val="21"/>
                <w:szCs w:val="21"/>
              </w:rPr>
            </w:pPr>
            <w:r>
              <w:rPr>
                <w:color w:val="000000"/>
                <w:kern w:val="0"/>
                <w:sz w:val="21"/>
                <w:szCs w:val="21"/>
              </w:rPr>
              <w:t>0.5257</w:t>
            </w:r>
          </w:p>
        </w:tc>
      </w:tr>
      <w:tr w14:paraId="4BDDE921">
        <w:tblPrEx>
          <w:tblCellMar>
            <w:top w:w="0" w:type="dxa"/>
            <w:left w:w="108" w:type="dxa"/>
            <w:bottom w:w="0" w:type="dxa"/>
            <w:right w:w="108" w:type="dxa"/>
          </w:tblCellMar>
        </w:tblPrEx>
        <w:trPr>
          <w:trHeight w:val="397" w:hRule="atLeast"/>
        </w:trPr>
        <w:tc>
          <w:tcPr>
            <w:tcW w:w="961" w:type="pct"/>
            <w:tcBorders>
              <w:top w:val="nil"/>
              <w:left w:val="nil"/>
              <w:bottom w:val="single" w:color="auto" w:sz="8" w:space="0"/>
              <w:right w:val="nil"/>
            </w:tcBorders>
            <w:shd w:val="clear" w:color="auto" w:fill="auto"/>
            <w:vAlign w:val="center"/>
          </w:tcPr>
          <w:p w14:paraId="759D9ABC">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西北区域电网</w:t>
            </w:r>
          </w:p>
        </w:tc>
        <w:tc>
          <w:tcPr>
            <w:tcW w:w="2877" w:type="pct"/>
            <w:tcBorders>
              <w:top w:val="nil"/>
              <w:left w:val="nil"/>
              <w:bottom w:val="single" w:color="auto" w:sz="8" w:space="0"/>
              <w:right w:val="nil"/>
            </w:tcBorders>
            <w:shd w:val="clear" w:color="auto" w:fill="auto"/>
            <w:vAlign w:val="center"/>
          </w:tcPr>
          <w:p w14:paraId="7A837F09">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陕西、甘肃、青海、宁夏、新疆</w:t>
            </w:r>
          </w:p>
        </w:tc>
        <w:tc>
          <w:tcPr>
            <w:tcW w:w="581" w:type="pct"/>
            <w:tcBorders>
              <w:top w:val="nil"/>
              <w:left w:val="nil"/>
              <w:bottom w:val="single" w:color="auto" w:sz="8" w:space="0"/>
              <w:right w:val="nil"/>
            </w:tcBorders>
            <w:shd w:val="clear" w:color="auto" w:fill="auto"/>
            <w:vAlign w:val="center"/>
          </w:tcPr>
          <w:p w14:paraId="039374A2">
            <w:pPr>
              <w:widowControl/>
              <w:suppressAutoHyphens w:val="0"/>
              <w:spacing w:line="240" w:lineRule="auto"/>
              <w:ind w:firstLine="0" w:firstLineChars="0"/>
              <w:jc w:val="center"/>
              <w:rPr>
                <w:color w:val="000000"/>
                <w:kern w:val="0"/>
                <w:sz w:val="21"/>
                <w:szCs w:val="21"/>
              </w:rPr>
            </w:pPr>
            <w:r>
              <w:rPr>
                <w:color w:val="000000"/>
                <w:kern w:val="0"/>
                <w:sz w:val="21"/>
                <w:szCs w:val="21"/>
              </w:rPr>
              <w:t>0.686</w:t>
            </w:r>
          </w:p>
        </w:tc>
        <w:tc>
          <w:tcPr>
            <w:tcW w:w="581" w:type="pct"/>
            <w:tcBorders>
              <w:top w:val="nil"/>
              <w:left w:val="nil"/>
              <w:bottom w:val="single" w:color="auto" w:sz="8" w:space="0"/>
              <w:right w:val="nil"/>
            </w:tcBorders>
            <w:shd w:val="clear" w:color="auto" w:fill="auto"/>
            <w:vAlign w:val="center"/>
          </w:tcPr>
          <w:p w14:paraId="44510B43">
            <w:pPr>
              <w:widowControl/>
              <w:suppressAutoHyphens w:val="0"/>
              <w:spacing w:line="240" w:lineRule="auto"/>
              <w:ind w:firstLine="0" w:firstLineChars="0"/>
              <w:jc w:val="center"/>
              <w:rPr>
                <w:color w:val="000000"/>
                <w:kern w:val="0"/>
                <w:sz w:val="21"/>
                <w:szCs w:val="21"/>
              </w:rPr>
            </w:pPr>
            <w:r>
              <w:rPr>
                <w:color w:val="000000"/>
                <w:kern w:val="0"/>
                <w:sz w:val="21"/>
                <w:szCs w:val="21"/>
              </w:rPr>
              <w:t>0.6671</w:t>
            </w:r>
          </w:p>
        </w:tc>
      </w:tr>
      <w:tr w14:paraId="730BAB97">
        <w:tblPrEx>
          <w:tblCellMar>
            <w:top w:w="0" w:type="dxa"/>
            <w:left w:w="108" w:type="dxa"/>
            <w:bottom w:w="0" w:type="dxa"/>
            <w:right w:w="108" w:type="dxa"/>
          </w:tblCellMar>
        </w:tblPrEx>
        <w:trPr>
          <w:trHeight w:val="397" w:hRule="atLeast"/>
        </w:trPr>
        <w:tc>
          <w:tcPr>
            <w:tcW w:w="961" w:type="pct"/>
            <w:tcBorders>
              <w:top w:val="nil"/>
              <w:left w:val="nil"/>
              <w:bottom w:val="single" w:color="auto" w:sz="8" w:space="0"/>
              <w:right w:val="nil"/>
            </w:tcBorders>
            <w:shd w:val="clear" w:color="auto" w:fill="auto"/>
            <w:vAlign w:val="center"/>
          </w:tcPr>
          <w:p w14:paraId="6E800338">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南方区域电网</w:t>
            </w:r>
          </w:p>
        </w:tc>
        <w:tc>
          <w:tcPr>
            <w:tcW w:w="2877" w:type="pct"/>
            <w:tcBorders>
              <w:top w:val="nil"/>
              <w:left w:val="nil"/>
              <w:bottom w:val="single" w:color="auto" w:sz="8" w:space="0"/>
              <w:right w:val="nil"/>
            </w:tcBorders>
            <w:shd w:val="clear" w:color="auto" w:fill="auto"/>
            <w:vAlign w:val="center"/>
          </w:tcPr>
          <w:p w14:paraId="3FBBD645">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广东、广西、云南、贵州</w:t>
            </w:r>
          </w:p>
        </w:tc>
        <w:tc>
          <w:tcPr>
            <w:tcW w:w="581" w:type="pct"/>
            <w:tcBorders>
              <w:top w:val="nil"/>
              <w:left w:val="nil"/>
              <w:bottom w:val="single" w:color="auto" w:sz="8" w:space="0"/>
              <w:right w:val="nil"/>
            </w:tcBorders>
            <w:shd w:val="clear" w:color="auto" w:fill="auto"/>
            <w:vAlign w:val="center"/>
          </w:tcPr>
          <w:p w14:paraId="250130CD">
            <w:pPr>
              <w:widowControl/>
              <w:suppressAutoHyphens w:val="0"/>
              <w:spacing w:line="240" w:lineRule="auto"/>
              <w:ind w:firstLine="0" w:firstLineChars="0"/>
              <w:jc w:val="center"/>
              <w:rPr>
                <w:color w:val="000000"/>
                <w:kern w:val="0"/>
                <w:sz w:val="21"/>
                <w:szCs w:val="21"/>
              </w:rPr>
            </w:pPr>
            <w:r>
              <w:rPr>
                <w:color w:val="000000"/>
                <w:kern w:val="0"/>
                <w:sz w:val="21"/>
                <w:szCs w:val="21"/>
              </w:rPr>
              <w:t>0.5748</w:t>
            </w:r>
          </w:p>
        </w:tc>
        <w:tc>
          <w:tcPr>
            <w:tcW w:w="581" w:type="pct"/>
            <w:tcBorders>
              <w:top w:val="nil"/>
              <w:left w:val="nil"/>
              <w:bottom w:val="single" w:color="auto" w:sz="8" w:space="0"/>
              <w:right w:val="nil"/>
            </w:tcBorders>
            <w:shd w:val="clear" w:color="auto" w:fill="auto"/>
            <w:vAlign w:val="center"/>
          </w:tcPr>
          <w:p w14:paraId="3CD430AD">
            <w:pPr>
              <w:widowControl/>
              <w:suppressAutoHyphens w:val="0"/>
              <w:spacing w:line="240" w:lineRule="auto"/>
              <w:ind w:firstLine="0" w:firstLineChars="0"/>
              <w:jc w:val="center"/>
              <w:rPr>
                <w:color w:val="000000"/>
                <w:kern w:val="0"/>
                <w:sz w:val="21"/>
                <w:szCs w:val="21"/>
              </w:rPr>
            </w:pPr>
            <w:r>
              <w:rPr>
                <w:color w:val="000000"/>
                <w:kern w:val="0"/>
                <w:sz w:val="21"/>
                <w:szCs w:val="21"/>
              </w:rPr>
              <w:t>0.5271</w:t>
            </w:r>
          </w:p>
        </w:tc>
      </w:tr>
    </w:tbl>
    <w:p w14:paraId="4F851A50">
      <w:pPr>
        <w:spacing w:line="400" w:lineRule="exact"/>
      </w:pPr>
      <w:r>
        <w:rPr>
          <w:rFonts w:hint="eastAsia"/>
        </w:rPr>
        <w:t>基于以上采暖能源消耗、电力能源消耗与一次能源消耗测算以及二氧化碳排放因子，结合</w:t>
      </w:r>
      <w:r>
        <w:t>C-2</w:t>
      </w:r>
      <w:r>
        <w:rPr>
          <w:rFonts w:hint="eastAsia"/>
        </w:rPr>
        <w:t>式测算</w:t>
      </w:r>
      <w:r>
        <w:t>2010</w:t>
      </w:r>
      <w:r>
        <w:rPr>
          <w:rFonts w:hint="eastAsia"/>
        </w:rPr>
        <w:t>年至</w:t>
      </w:r>
      <w:r>
        <w:t>2019</w:t>
      </w:r>
      <w:r>
        <w:rPr>
          <w:rFonts w:hint="eastAsia"/>
        </w:rPr>
        <w:t>年的沈阳市分能源种类的建筑碳排放。</w:t>
      </w:r>
    </w:p>
    <w:p w14:paraId="03598098">
      <w:pPr>
        <w:pStyle w:val="61"/>
        <w:ind w:firstLine="0"/>
      </w:pPr>
      <w:r>
        <w:t>3.</w:t>
      </w:r>
      <w:r>
        <w:rPr>
          <w:rFonts w:hint="eastAsia"/>
        </w:rPr>
        <w:t>2</w:t>
      </w:r>
      <w:r>
        <w:t xml:space="preserve"> </w:t>
      </w:r>
      <w:r>
        <w:rPr>
          <w:rFonts w:hint="eastAsia"/>
        </w:rPr>
        <w:t>建筑碳排放预测</w:t>
      </w:r>
    </w:p>
    <w:p w14:paraId="6528251A">
      <w:pPr>
        <w:spacing w:line="400" w:lineRule="exact"/>
      </w:pPr>
      <w:r>
        <w:rPr>
          <w:rFonts w:hint="eastAsia"/>
        </w:rPr>
        <w:t>由于建筑面积、能源消耗量等数据均源于估算，故使用该预测方法进行具体数值的确定和不同建筑类型的排放分配时用到较多的假设，预测结果精度有待进一步完善。根据以上历史建筑能耗与建筑碳排放测算结果，依据下式分别计算沈阳市公共建筑、城镇居住建筑与农村居住建筑的历史碳排放因子。</w:t>
      </w:r>
    </w:p>
    <w:p w14:paraId="3E9828F0">
      <w:pPr>
        <w:jc w:val="right"/>
      </w:pPr>
      <w:r>
        <w:rPr>
          <w:rFonts w:hint="eastAsia"/>
        </w:rPr>
        <w:t xml:space="preserve">建筑碳排放因子=建筑碳排放/建筑能耗 </w:t>
      </w:r>
      <w:r>
        <w:t xml:space="preserve">          </w:t>
      </w:r>
      <w:r>
        <w:rPr>
          <w:rFonts w:hint="eastAsia"/>
        </w:rPr>
        <w:t>（C</w:t>
      </w:r>
      <w:r>
        <w:t>-3</w:t>
      </w:r>
      <w:r>
        <w:rPr>
          <w:rFonts w:hint="eastAsia"/>
        </w:rPr>
        <w:t>）</w:t>
      </w:r>
    </w:p>
    <w:p w14:paraId="2C1A2756">
      <w:r>
        <w:rPr>
          <w:rFonts w:hint="eastAsia"/>
        </w:rPr>
        <w:t>根据本规划对建筑节能目标的设定，综合考虑新建建筑能效提升、超低能耗建筑试点、既有居住建筑节能改造、可再生能源应用等措施的节能效果，以及沈阳市能源结构升级对综合碳排放因子的影响，预测各建筑类型的碳排放因子呈现逐步下降趋势。综上所述，沈阳市历史建筑运行排放与“十四五”预测数据如下表所示。</w:t>
      </w:r>
    </w:p>
    <w:p w14:paraId="3F7BE052">
      <w:r>
        <w:rPr>
          <w:rFonts w:hint="eastAsia"/>
        </w:rPr>
        <w:t>表</w:t>
      </w:r>
      <w:r>
        <w:t xml:space="preserve">8-7 </w:t>
      </w:r>
      <w:r>
        <w:rPr>
          <w:rFonts w:hint="eastAsia"/>
        </w:rPr>
        <w:t>沈阳市建筑碳排放测算与预测结果（单位：万吨C</w:t>
      </w:r>
      <w:r>
        <w:t>O2</w:t>
      </w:r>
      <w:r>
        <w:rPr>
          <w:rFonts w:hint="eastAsia"/>
        </w:rPr>
        <w:t>）</w:t>
      </w:r>
    </w:p>
    <w:tbl>
      <w:tblPr>
        <w:tblStyle w:val="20"/>
        <w:tblW w:w="9180" w:type="dxa"/>
        <w:jc w:val="center"/>
        <w:tblLayout w:type="fixed"/>
        <w:tblCellMar>
          <w:top w:w="0" w:type="dxa"/>
          <w:left w:w="108" w:type="dxa"/>
          <w:bottom w:w="0" w:type="dxa"/>
          <w:right w:w="108" w:type="dxa"/>
        </w:tblCellMar>
      </w:tblPr>
      <w:tblGrid>
        <w:gridCol w:w="567"/>
        <w:gridCol w:w="851"/>
        <w:gridCol w:w="1108"/>
        <w:gridCol w:w="1109"/>
        <w:gridCol w:w="1109"/>
        <w:gridCol w:w="1109"/>
        <w:gridCol w:w="1109"/>
        <w:gridCol w:w="1109"/>
        <w:gridCol w:w="1109"/>
      </w:tblGrid>
      <w:tr w14:paraId="4E8707DB">
        <w:tblPrEx>
          <w:tblCellMar>
            <w:top w:w="0" w:type="dxa"/>
            <w:left w:w="108" w:type="dxa"/>
            <w:bottom w:w="0" w:type="dxa"/>
            <w:right w:w="108" w:type="dxa"/>
          </w:tblCellMar>
        </w:tblPrEx>
        <w:trPr>
          <w:trHeight w:val="278"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4DBFDA0">
            <w:pPr>
              <w:pStyle w:val="40"/>
            </w:pPr>
            <w:r>
              <w:rPr>
                <w:rFonts w:hint="eastAsia"/>
              </w:rPr>
              <w:t>　</w:t>
            </w:r>
          </w:p>
        </w:tc>
        <w:tc>
          <w:tcPr>
            <w:tcW w:w="851" w:type="dxa"/>
            <w:tcBorders>
              <w:top w:val="single" w:color="auto" w:sz="4" w:space="0"/>
              <w:left w:val="nil"/>
              <w:bottom w:val="single" w:color="auto" w:sz="4" w:space="0"/>
              <w:right w:val="single" w:color="auto" w:sz="4" w:space="0"/>
            </w:tcBorders>
            <w:shd w:val="clear" w:color="auto" w:fill="auto"/>
            <w:noWrap/>
            <w:vAlign w:val="bottom"/>
          </w:tcPr>
          <w:p w14:paraId="0F9E3DEE">
            <w:pPr>
              <w:pStyle w:val="40"/>
            </w:pPr>
            <w:r>
              <w:rPr>
                <w:rFonts w:hint="eastAsia"/>
              </w:rPr>
              <w:t>年份</w:t>
            </w:r>
          </w:p>
        </w:tc>
        <w:tc>
          <w:tcPr>
            <w:tcW w:w="1108" w:type="dxa"/>
            <w:tcBorders>
              <w:top w:val="single" w:color="auto" w:sz="4" w:space="0"/>
              <w:left w:val="nil"/>
              <w:bottom w:val="single" w:color="auto" w:sz="4" w:space="0"/>
              <w:right w:val="single" w:color="auto" w:sz="4" w:space="0"/>
            </w:tcBorders>
            <w:shd w:val="clear" w:color="auto" w:fill="auto"/>
            <w:noWrap/>
            <w:vAlign w:val="bottom"/>
          </w:tcPr>
          <w:p w14:paraId="49BC0331">
            <w:pPr>
              <w:pStyle w:val="40"/>
            </w:pPr>
            <w:r>
              <w:rPr>
                <w:rFonts w:hint="eastAsia"/>
              </w:rPr>
              <w:t>总碳排放</w:t>
            </w:r>
          </w:p>
        </w:tc>
        <w:tc>
          <w:tcPr>
            <w:tcW w:w="1109" w:type="dxa"/>
            <w:tcBorders>
              <w:top w:val="single" w:color="auto" w:sz="4" w:space="0"/>
              <w:left w:val="nil"/>
              <w:bottom w:val="single" w:color="auto" w:sz="4" w:space="0"/>
              <w:right w:val="single" w:color="auto" w:sz="4" w:space="0"/>
            </w:tcBorders>
            <w:shd w:val="clear" w:color="auto" w:fill="auto"/>
            <w:noWrap/>
            <w:vAlign w:val="bottom"/>
          </w:tcPr>
          <w:p w14:paraId="4969F334">
            <w:pPr>
              <w:pStyle w:val="40"/>
            </w:pPr>
            <w:r>
              <w:rPr>
                <w:rFonts w:hint="eastAsia"/>
              </w:rPr>
              <w:t>公共建筑</w:t>
            </w:r>
          </w:p>
        </w:tc>
        <w:tc>
          <w:tcPr>
            <w:tcW w:w="1109" w:type="dxa"/>
            <w:tcBorders>
              <w:top w:val="single" w:color="auto" w:sz="4" w:space="0"/>
              <w:left w:val="nil"/>
              <w:bottom w:val="single" w:color="auto" w:sz="4" w:space="0"/>
              <w:right w:val="single" w:color="auto" w:sz="4" w:space="0"/>
            </w:tcBorders>
            <w:shd w:val="clear" w:color="auto" w:fill="auto"/>
            <w:noWrap/>
            <w:vAlign w:val="bottom"/>
          </w:tcPr>
          <w:p w14:paraId="12F90D84">
            <w:pPr>
              <w:pStyle w:val="40"/>
            </w:pPr>
            <w:r>
              <w:rPr>
                <w:rFonts w:hint="eastAsia"/>
              </w:rPr>
              <w:t>城镇居建</w:t>
            </w:r>
          </w:p>
        </w:tc>
        <w:tc>
          <w:tcPr>
            <w:tcW w:w="1109" w:type="dxa"/>
            <w:tcBorders>
              <w:top w:val="single" w:color="auto" w:sz="4" w:space="0"/>
              <w:left w:val="nil"/>
              <w:bottom w:val="single" w:color="auto" w:sz="4" w:space="0"/>
              <w:right w:val="single" w:color="auto" w:sz="4" w:space="0"/>
            </w:tcBorders>
            <w:shd w:val="clear" w:color="auto" w:fill="auto"/>
            <w:noWrap/>
            <w:vAlign w:val="bottom"/>
          </w:tcPr>
          <w:p w14:paraId="1E1298B7">
            <w:pPr>
              <w:pStyle w:val="40"/>
            </w:pPr>
            <w:r>
              <w:rPr>
                <w:rFonts w:hint="eastAsia"/>
              </w:rPr>
              <w:t>农村居建</w:t>
            </w:r>
          </w:p>
        </w:tc>
        <w:tc>
          <w:tcPr>
            <w:tcW w:w="1109" w:type="dxa"/>
            <w:tcBorders>
              <w:top w:val="single" w:color="auto" w:sz="4" w:space="0"/>
              <w:left w:val="nil"/>
              <w:bottom w:val="single" w:color="auto" w:sz="4" w:space="0"/>
              <w:right w:val="single" w:color="auto" w:sz="4" w:space="0"/>
            </w:tcBorders>
            <w:shd w:val="clear" w:color="auto" w:fill="auto"/>
            <w:noWrap/>
            <w:vAlign w:val="bottom"/>
          </w:tcPr>
          <w:p w14:paraId="5F8CF518">
            <w:pPr>
              <w:pStyle w:val="40"/>
            </w:pPr>
            <w:r>
              <w:rPr>
                <w:rFonts w:hint="eastAsia"/>
              </w:rPr>
              <w:t>直接排放</w:t>
            </w:r>
          </w:p>
        </w:tc>
        <w:tc>
          <w:tcPr>
            <w:tcW w:w="1109" w:type="dxa"/>
            <w:tcBorders>
              <w:top w:val="single" w:color="auto" w:sz="4" w:space="0"/>
              <w:left w:val="nil"/>
              <w:bottom w:val="single" w:color="auto" w:sz="4" w:space="0"/>
              <w:right w:val="single" w:color="auto" w:sz="4" w:space="0"/>
            </w:tcBorders>
            <w:shd w:val="clear" w:color="auto" w:fill="auto"/>
            <w:noWrap/>
            <w:vAlign w:val="bottom"/>
          </w:tcPr>
          <w:p w14:paraId="55DC6CAC">
            <w:pPr>
              <w:pStyle w:val="40"/>
            </w:pPr>
            <w:r>
              <w:rPr>
                <w:rFonts w:hint="eastAsia"/>
              </w:rPr>
              <w:t>电力排放</w:t>
            </w:r>
          </w:p>
        </w:tc>
        <w:tc>
          <w:tcPr>
            <w:tcW w:w="1109" w:type="dxa"/>
            <w:tcBorders>
              <w:top w:val="single" w:color="auto" w:sz="4" w:space="0"/>
              <w:left w:val="nil"/>
              <w:bottom w:val="single" w:color="auto" w:sz="4" w:space="0"/>
              <w:right w:val="single" w:color="auto" w:sz="4" w:space="0"/>
            </w:tcBorders>
            <w:shd w:val="clear" w:color="auto" w:fill="auto"/>
            <w:noWrap/>
            <w:vAlign w:val="bottom"/>
          </w:tcPr>
          <w:p w14:paraId="10E80C46">
            <w:pPr>
              <w:pStyle w:val="40"/>
            </w:pPr>
            <w:r>
              <w:rPr>
                <w:rFonts w:hint="eastAsia"/>
              </w:rPr>
              <w:t>集中采暖</w:t>
            </w:r>
          </w:p>
        </w:tc>
      </w:tr>
      <w:tr w14:paraId="0BF2B418">
        <w:tblPrEx>
          <w:tblCellMar>
            <w:top w:w="0" w:type="dxa"/>
            <w:left w:w="108" w:type="dxa"/>
            <w:bottom w:w="0" w:type="dxa"/>
            <w:right w:w="108" w:type="dxa"/>
          </w:tblCellMar>
        </w:tblPrEx>
        <w:trPr>
          <w:trHeight w:val="278" w:hRule="atLeast"/>
          <w:jc w:val="center"/>
        </w:trPr>
        <w:tc>
          <w:tcPr>
            <w:tcW w:w="567" w:type="dxa"/>
            <w:vMerge w:val="restart"/>
            <w:tcBorders>
              <w:top w:val="nil"/>
              <w:left w:val="single" w:color="auto" w:sz="4" w:space="0"/>
              <w:bottom w:val="single" w:color="auto" w:sz="4" w:space="0"/>
              <w:right w:val="single" w:color="auto" w:sz="4" w:space="0"/>
            </w:tcBorders>
            <w:shd w:val="clear" w:color="auto" w:fill="auto"/>
            <w:noWrap/>
            <w:vAlign w:val="center"/>
          </w:tcPr>
          <w:p w14:paraId="4517D049">
            <w:pPr>
              <w:pStyle w:val="40"/>
            </w:pPr>
            <w:r>
              <w:rPr>
                <w:rFonts w:hint="eastAsia"/>
              </w:rPr>
              <w:t>历史数据</w:t>
            </w:r>
          </w:p>
        </w:tc>
        <w:tc>
          <w:tcPr>
            <w:tcW w:w="851" w:type="dxa"/>
            <w:tcBorders>
              <w:top w:val="nil"/>
              <w:left w:val="nil"/>
              <w:bottom w:val="single" w:color="auto" w:sz="4" w:space="0"/>
              <w:right w:val="single" w:color="auto" w:sz="4" w:space="0"/>
            </w:tcBorders>
            <w:shd w:val="clear" w:color="auto" w:fill="auto"/>
            <w:noWrap/>
            <w:vAlign w:val="bottom"/>
          </w:tcPr>
          <w:p w14:paraId="564CA57F">
            <w:pPr>
              <w:pStyle w:val="40"/>
            </w:pPr>
            <w:r>
              <w:rPr>
                <w:rFonts w:hint="eastAsia"/>
              </w:rPr>
              <w:t>2010</w:t>
            </w:r>
          </w:p>
        </w:tc>
        <w:tc>
          <w:tcPr>
            <w:tcW w:w="1108" w:type="dxa"/>
            <w:tcBorders>
              <w:top w:val="nil"/>
              <w:left w:val="nil"/>
              <w:bottom w:val="single" w:color="auto" w:sz="4" w:space="0"/>
              <w:right w:val="single" w:color="auto" w:sz="4" w:space="0"/>
            </w:tcBorders>
            <w:shd w:val="clear" w:color="auto" w:fill="auto"/>
            <w:noWrap/>
            <w:vAlign w:val="bottom"/>
          </w:tcPr>
          <w:p w14:paraId="7F3BAFFB">
            <w:pPr>
              <w:pStyle w:val="40"/>
            </w:pPr>
            <w:r>
              <w:rPr>
                <w:rFonts w:hint="eastAsia"/>
              </w:rPr>
              <w:t>1916</w:t>
            </w:r>
          </w:p>
        </w:tc>
        <w:tc>
          <w:tcPr>
            <w:tcW w:w="1109" w:type="dxa"/>
            <w:tcBorders>
              <w:top w:val="nil"/>
              <w:left w:val="nil"/>
              <w:bottom w:val="single" w:color="auto" w:sz="4" w:space="0"/>
              <w:right w:val="single" w:color="auto" w:sz="4" w:space="0"/>
            </w:tcBorders>
            <w:shd w:val="clear" w:color="auto" w:fill="auto"/>
            <w:noWrap/>
            <w:vAlign w:val="bottom"/>
          </w:tcPr>
          <w:p w14:paraId="16BD50F1">
            <w:pPr>
              <w:pStyle w:val="40"/>
            </w:pPr>
            <w:r>
              <w:rPr>
                <w:rFonts w:hint="eastAsia"/>
              </w:rPr>
              <w:t>649</w:t>
            </w:r>
          </w:p>
        </w:tc>
        <w:tc>
          <w:tcPr>
            <w:tcW w:w="1109" w:type="dxa"/>
            <w:tcBorders>
              <w:top w:val="nil"/>
              <w:left w:val="nil"/>
              <w:bottom w:val="single" w:color="auto" w:sz="4" w:space="0"/>
              <w:right w:val="single" w:color="auto" w:sz="4" w:space="0"/>
            </w:tcBorders>
            <w:shd w:val="clear" w:color="auto" w:fill="auto"/>
            <w:noWrap/>
            <w:vAlign w:val="bottom"/>
          </w:tcPr>
          <w:p w14:paraId="31A1028C">
            <w:pPr>
              <w:pStyle w:val="40"/>
            </w:pPr>
            <w:r>
              <w:rPr>
                <w:rFonts w:hint="eastAsia"/>
              </w:rPr>
              <w:t>1062</w:t>
            </w:r>
          </w:p>
        </w:tc>
        <w:tc>
          <w:tcPr>
            <w:tcW w:w="1109" w:type="dxa"/>
            <w:tcBorders>
              <w:top w:val="nil"/>
              <w:left w:val="nil"/>
              <w:bottom w:val="single" w:color="auto" w:sz="4" w:space="0"/>
              <w:right w:val="single" w:color="auto" w:sz="4" w:space="0"/>
            </w:tcBorders>
            <w:shd w:val="clear" w:color="auto" w:fill="auto"/>
            <w:noWrap/>
            <w:vAlign w:val="bottom"/>
          </w:tcPr>
          <w:p w14:paraId="69524C2E">
            <w:pPr>
              <w:pStyle w:val="40"/>
            </w:pPr>
            <w:r>
              <w:rPr>
                <w:rFonts w:hint="eastAsia"/>
              </w:rPr>
              <w:t>206</w:t>
            </w:r>
          </w:p>
        </w:tc>
        <w:tc>
          <w:tcPr>
            <w:tcW w:w="1109" w:type="dxa"/>
            <w:tcBorders>
              <w:top w:val="nil"/>
              <w:left w:val="nil"/>
              <w:bottom w:val="single" w:color="auto" w:sz="4" w:space="0"/>
              <w:right w:val="single" w:color="auto" w:sz="4" w:space="0"/>
            </w:tcBorders>
            <w:shd w:val="clear" w:color="auto" w:fill="auto"/>
            <w:noWrap/>
            <w:vAlign w:val="bottom"/>
          </w:tcPr>
          <w:p w14:paraId="01CC5D86">
            <w:pPr>
              <w:pStyle w:val="40"/>
            </w:pPr>
            <w:r>
              <w:rPr>
                <w:rFonts w:hint="eastAsia"/>
              </w:rPr>
              <w:t>179</w:t>
            </w:r>
          </w:p>
        </w:tc>
        <w:tc>
          <w:tcPr>
            <w:tcW w:w="1109" w:type="dxa"/>
            <w:tcBorders>
              <w:top w:val="nil"/>
              <w:left w:val="nil"/>
              <w:bottom w:val="single" w:color="auto" w:sz="4" w:space="0"/>
              <w:right w:val="single" w:color="auto" w:sz="4" w:space="0"/>
            </w:tcBorders>
            <w:shd w:val="clear" w:color="auto" w:fill="auto"/>
            <w:noWrap/>
            <w:vAlign w:val="bottom"/>
          </w:tcPr>
          <w:p w14:paraId="39AC61CA">
            <w:pPr>
              <w:pStyle w:val="40"/>
            </w:pPr>
            <w:r>
              <w:rPr>
                <w:rFonts w:hint="eastAsia"/>
              </w:rPr>
              <w:t>764</w:t>
            </w:r>
          </w:p>
        </w:tc>
        <w:tc>
          <w:tcPr>
            <w:tcW w:w="1109" w:type="dxa"/>
            <w:tcBorders>
              <w:top w:val="nil"/>
              <w:left w:val="nil"/>
              <w:bottom w:val="single" w:color="auto" w:sz="4" w:space="0"/>
              <w:right w:val="single" w:color="auto" w:sz="4" w:space="0"/>
            </w:tcBorders>
            <w:shd w:val="clear" w:color="auto" w:fill="auto"/>
            <w:noWrap/>
            <w:vAlign w:val="bottom"/>
          </w:tcPr>
          <w:p w14:paraId="69133284">
            <w:pPr>
              <w:pStyle w:val="40"/>
            </w:pPr>
            <w:r>
              <w:rPr>
                <w:rFonts w:hint="eastAsia"/>
              </w:rPr>
              <w:t>974</w:t>
            </w:r>
          </w:p>
        </w:tc>
      </w:tr>
      <w:tr w14:paraId="25605905">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10AF2A3E">
            <w:pPr>
              <w:pStyle w:val="40"/>
            </w:pPr>
          </w:p>
        </w:tc>
        <w:tc>
          <w:tcPr>
            <w:tcW w:w="851" w:type="dxa"/>
            <w:tcBorders>
              <w:top w:val="nil"/>
              <w:left w:val="nil"/>
              <w:bottom w:val="single" w:color="auto" w:sz="4" w:space="0"/>
              <w:right w:val="single" w:color="auto" w:sz="4" w:space="0"/>
            </w:tcBorders>
            <w:shd w:val="clear" w:color="auto" w:fill="auto"/>
            <w:noWrap/>
            <w:vAlign w:val="bottom"/>
          </w:tcPr>
          <w:p w14:paraId="6D763B43">
            <w:pPr>
              <w:pStyle w:val="40"/>
            </w:pPr>
            <w:r>
              <w:rPr>
                <w:rFonts w:hint="eastAsia"/>
              </w:rPr>
              <w:t>2011</w:t>
            </w:r>
          </w:p>
        </w:tc>
        <w:tc>
          <w:tcPr>
            <w:tcW w:w="1108" w:type="dxa"/>
            <w:tcBorders>
              <w:top w:val="nil"/>
              <w:left w:val="nil"/>
              <w:bottom w:val="single" w:color="auto" w:sz="4" w:space="0"/>
              <w:right w:val="single" w:color="auto" w:sz="4" w:space="0"/>
            </w:tcBorders>
            <w:shd w:val="clear" w:color="auto" w:fill="auto"/>
            <w:noWrap/>
            <w:vAlign w:val="bottom"/>
          </w:tcPr>
          <w:p w14:paraId="50439881">
            <w:pPr>
              <w:pStyle w:val="40"/>
            </w:pPr>
            <w:r>
              <w:rPr>
                <w:rFonts w:hint="eastAsia"/>
              </w:rPr>
              <w:t>1889</w:t>
            </w:r>
          </w:p>
        </w:tc>
        <w:tc>
          <w:tcPr>
            <w:tcW w:w="1109" w:type="dxa"/>
            <w:tcBorders>
              <w:top w:val="nil"/>
              <w:left w:val="nil"/>
              <w:bottom w:val="single" w:color="auto" w:sz="4" w:space="0"/>
              <w:right w:val="single" w:color="auto" w:sz="4" w:space="0"/>
            </w:tcBorders>
            <w:shd w:val="clear" w:color="auto" w:fill="auto"/>
            <w:noWrap/>
            <w:vAlign w:val="bottom"/>
          </w:tcPr>
          <w:p w14:paraId="6E9EB4D2">
            <w:pPr>
              <w:pStyle w:val="40"/>
            </w:pPr>
            <w:r>
              <w:rPr>
                <w:rFonts w:hint="eastAsia"/>
              </w:rPr>
              <w:t>637</w:t>
            </w:r>
          </w:p>
        </w:tc>
        <w:tc>
          <w:tcPr>
            <w:tcW w:w="1109" w:type="dxa"/>
            <w:tcBorders>
              <w:top w:val="nil"/>
              <w:left w:val="nil"/>
              <w:bottom w:val="single" w:color="auto" w:sz="4" w:space="0"/>
              <w:right w:val="single" w:color="auto" w:sz="4" w:space="0"/>
            </w:tcBorders>
            <w:shd w:val="clear" w:color="auto" w:fill="auto"/>
            <w:noWrap/>
            <w:vAlign w:val="bottom"/>
          </w:tcPr>
          <w:p w14:paraId="68F60526">
            <w:pPr>
              <w:pStyle w:val="40"/>
            </w:pPr>
            <w:r>
              <w:rPr>
                <w:rFonts w:hint="eastAsia"/>
              </w:rPr>
              <w:t>1042</w:t>
            </w:r>
          </w:p>
        </w:tc>
        <w:tc>
          <w:tcPr>
            <w:tcW w:w="1109" w:type="dxa"/>
            <w:tcBorders>
              <w:top w:val="nil"/>
              <w:left w:val="nil"/>
              <w:bottom w:val="single" w:color="auto" w:sz="4" w:space="0"/>
              <w:right w:val="single" w:color="auto" w:sz="4" w:space="0"/>
            </w:tcBorders>
            <w:shd w:val="clear" w:color="auto" w:fill="auto"/>
            <w:noWrap/>
            <w:vAlign w:val="bottom"/>
          </w:tcPr>
          <w:p w14:paraId="65694904">
            <w:pPr>
              <w:pStyle w:val="40"/>
            </w:pPr>
            <w:r>
              <w:rPr>
                <w:rFonts w:hint="eastAsia"/>
              </w:rPr>
              <w:t>210</w:t>
            </w:r>
          </w:p>
        </w:tc>
        <w:tc>
          <w:tcPr>
            <w:tcW w:w="1109" w:type="dxa"/>
            <w:tcBorders>
              <w:top w:val="nil"/>
              <w:left w:val="nil"/>
              <w:bottom w:val="single" w:color="auto" w:sz="4" w:space="0"/>
              <w:right w:val="single" w:color="auto" w:sz="4" w:space="0"/>
            </w:tcBorders>
            <w:shd w:val="clear" w:color="auto" w:fill="auto"/>
            <w:noWrap/>
            <w:vAlign w:val="bottom"/>
          </w:tcPr>
          <w:p w14:paraId="24A5B616">
            <w:pPr>
              <w:pStyle w:val="40"/>
            </w:pPr>
            <w:r>
              <w:rPr>
                <w:rFonts w:hint="eastAsia"/>
              </w:rPr>
              <w:t>188</w:t>
            </w:r>
          </w:p>
        </w:tc>
        <w:tc>
          <w:tcPr>
            <w:tcW w:w="1109" w:type="dxa"/>
            <w:tcBorders>
              <w:top w:val="nil"/>
              <w:left w:val="nil"/>
              <w:bottom w:val="single" w:color="auto" w:sz="4" w:space="0"/>
              <w:right w:val="single" w:color="auto" w:sz="4" w:space="0"/>
            </w:tcBorders>
            <w:shd w:val="clear" w:color="auto" w:fill="auto"/>
            <w:noWrap/>
            <w:vAlign w:val="bottom"/>
          </w:tcPr>
          <w:p w14:paraId="07FC185D">
            <w:pPr>
              <w:pStyle w:val="40"/>
            </w:pPr>
            <w:r>
              <w:rPr>
                <w:rFonts w:hint="eastAsia"/>
              </w:rPr>
              <w:t>827</w:t>
            </w:r>
          </w:p>
        </w:tc>
        <w:tc>
          <w:tcPr>
            <w:tcW w:w="1109" w:type="dxa"/>
            <w:tcBorders>
              <w:top w:val="nil"/>
              <w:left w:val="nil"/>
              <w:bottom w:val="single" w:color="auto" w:sz="4" w:space="0"/>
              <w:right w:val="single" w:color="auto" w:sz="4" w:space="0"/>
            </w:tcBorders>
            <w:shd w:val="clear" w:color="auto" w:fill="auto"/>
            <w:noWrap/>
            <w:vAlign w:val="bottom"/>
          </w:tcPr>
          <w:p w14:paraId="3DD89F82">
            <w:pPr>
              <w:pStyle w:val="40"/>
            </w:pPr>
            <w:r>
              <w:rPr>
                <w:rFonts w:hint="eastAsia"/>
              </w:rPr>
              <w:t>874</w:t>
            </w:r>
          </w:p>
        </w:tc>
      </w:tr>
      <w:tr w14:paraId="1B0DBCF7">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78294B9C">
            <w:pPr>
              <w:pStyle w:val="40"/>
            </w:pPr>
          </w:p>
        </w:tc>
        <w:tc>
          <w:tcPr>
            <w:tcW w:w="851" w:type="dxa"/>
            <w:tcBorders>
              <w:top w:val="nil"/>
              <w:left w:val="nil"/>
              <w:bottom w:val="single" w:color="auto" w:sz="4" w:space="0"/>
              <w:right w:val="single" w:color="auto" w:sz="4" w:space="0"/>
            </w:tcBorders>
            <w:shd w:val="clear" w:color="auto" w:fill="auto"/>
            <w:noWrap/>
            <w:vAlign w:val="bottom"/>
          </w:tcPr>
          <w:p w14:paraId="3121EAAD">
            <w:pPr>
              <w:pStyle w:val="40"/>
            </w:pPr>
            <w:r>
              <w:rPr>
                <w:rFonts w:hint="eastAsia"/>
              </w:rPr>
              <w:t>2012</w:t>
            </w:r>
          </w:p>
        </w:tc>
        <w:tc>
          <w:tcPr>
            <w:tcW w:w="1108" w:type="dxa"/>
            <w:tcBorders>
              <w:top w:val="nil"/>
              <w:left w:val="nil"/>
              <w:bottom w:val="single" w:color="auto" w:sz="4" w:space="0"/>
              <w:right w:val="single" w:color="auto" w:sz="4" w:space="0"/>
            </w:tcBorders>
            <w:shd w:val="clear" w:color="auto" w:fill="auto"/>
            <w:noWrap/>
            <w:vAlign w:val="bottom"/>
          </w:tcPr>
          <w:p w14:paraId="6F9B599C">
            <w:pPr>
              <w:pStyle w:val="40"/>
            </w:pPr>
            <w:r>
              <w:rPr>
                <w:rFonts w:hint="eastAsia"/>
              </w:rPr>
              <w:t>2194</w:t>
            </w:r>
          </w:p>
        </w:tc>
        <w:tc>
          <w:tcPr>
            <w:tcW w:w="1109" w:type="dxa"/>
            <w:tcBorders>
              <w:top w:val="nil"/>
              <w:left w:val="nil"/>
              <w:bottom w:val="single" w:color="auto" w:sz="4" w:space="0"/>
              <w:right w:val="single" w:color="auto" w:sz="4" w:space="0"/>
            </w:tcBorders>
            <w:shd w:val="clear" w:color="auto" w:fill="auto"/>
            <w:noWrap/>
            <w:vAlign w:val="bottom"/>
          </w:tcPr>
          <w:p w14:paraId="5AAF4C7E">
            <w:pPr>
              <w:pStyle w:val="40"/>
            </w:pPr>
            <w:r>
              <w:rPr>
                <w:rFonts w:hint="eastAsia"/>
              </w:rPr>
              <w:t>751</w:t>
            </w:r>
          </w:p>
        </w:tc>
        <w:tc>
          <w:tcPr>
            <w:tcW w:w="1109" w:type="dxa"/>
            <w:tcBorders>
              <w:top w:val="nil"/>
              <w:left w:val="nil"/>
              <w:bottom w:val="single" w:color="auto" w:sz="4" w:space="0"/>
              <w:right w:val="single" w:color="auto" w:sz="4" w:space="0"/>
            </w:tcBorders>
            <w:shd w:val="clear" w:color="auto" w:fill="auto"/>
            <w:noWrap/>
            <w:vAlign w:val="bottom"/>
          </w:tcPr>
          <w:p w14:paraId="45C57EB3">
            <w:pPr>
              <w:pStyle w:val="40"/>
            </w:pPr>
            <w:r>
              <w:rPr>
                <w:rFonts w:hint="eastAsia"/>
              </w:rPr>
              <w:t>1229</w:t>
            </w:r>
          </w:p>
        </w:tc>
        <w:tc>
          <w:tcPr>
            <w:tcW w:w="1109" w:type="dxa"/>
            <w:tcBorders>
              <w:top w:val="nil"/>
              <w:left w:val="nil"/>
              <w:bottom w:val="single" w:color="auto" w:sz="4" w:space="0"/>
              <w:right w:val="single" w:color="auto" w:sz="4" w:space="0"/>
            </w:tcBorders>
            <w:shd w:val="clear" w:color="auto" w:fill="auto"/>
            <w:noWrap/>
            <w:vAlign w:val="bottom"/>
          </w:tcPr>
          <w:p w14:paraId="02FAC85A">
            <w:pPr>
              <w:pStyle w:val="40"/>
            </w:pPr>
            <w:r>
              <w:rPr>
                <w:rFonts w:hint="eastAsia"/>
              </w:rPr>
              <w:t>213</w:t>
            </w:r>
          </w:p>
        </w:tc>
        <w:tc>
          <w:tcPr>
            <w:tcW w:w="1109" w:type="dxa"/>
            <w:tcBorders>
              <w:top w:val="nil"/>
              <w:left w:val="nil"/>
              <w:bottom w:val="single" w:color="auto" w:sz="4" w:space="0"/>
              <w:right w:val="single" w:color="auto" w:sz="4" w:space="0"/>
            </w:tcBorders>
            <w:shd w:val="clear" w:color="auto" w:fill="auto"/>
            <w:noWrap/>
            <w:vAlign w:val="bottom"/>
          </w:tcPr>
          <w:p w14:paraId="01886193">
            <w:pPr>
              <w:pStyle w:val="40"/>
            </w:pPr>
            <w:r>
              <w:rPr>
                <w:rFonts w:hint="eastAsia"/>
              </w:rPr>
              <w:t>189</w:t>
            </w:r>
          </w:p>
        </w:tc>
        <w:tc>
          <w:tcPr>
            <w:tcW w:w="1109" w:type="dxa"/>
            <w:tcBorders>
              <w:top w:val="nil"/>
              <w:left w:val="nil"/>
              <w:bottom w:val="single" w:color="auto" w:sz="4" w:space="0"/>
              <w:right w:val="single" w:color="auto" w:sz="4" w:space="0"/>
            </w:tcBorders>
            <w:shd w:val="clear" w:color="auto" w:fill="auto"/>
            <w:noWrap/>
            <w:vAlign w:val="bottom"/>
          </w:tcPr>
          <w:p w14:paraId="5733BE9E">
            <w:pPr>
              <w:pStyle w:val="40"/>
            </w:pPr>
            <w:r>
              <w:rPr>
                <w:rFonts w:hint="eastAsia"/>
              </w:rPr>
              <w:t>894</w:t>
            </w:r>
          </w:p>
        </w:tc>
        <w:tc>
          <w:tcPr>
            <w:tcW w:w="1109" w:type="dxa"/>
            <w:tcBorders>
              <w:top w:val="nil"/>
              <w:left w:val="nil"/>
              <w:bottom w:val="single" w:color="auto" w:sz="4" w:space="0"/>
              <w:right w:val="single" w:color="auto" w:sz="4" w:space="0"/>
            </w:tcBorders>
            <w:shd w:val="clear" w:color="auto" w:fill="auto"/>
            <w:noWrap/>
            <w:vAlign w:val="bottom"/>
          </w:tcPr>
          <w:p w14:paraId="145234D8">
            <w:pPr>
              <w:pStyle w:val="40"/>
            </w:pPr>
            <w:r>
              <w:rPr>
                <w:rFonts w:hint="eastAsia"/>
              </w:rPr>
              <w:t>1110</w:t>
            </w:r>
          </w:p>
        </w:tc>
      </w:tr>
      <w:tr w14:paraId="33124F00">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63F9CAA4">
            <w:pPr>
              <w:pStyle w:val="40"/>
            </w:pPr>
          </w:p>
        </w:tc>
        <w:tc>
          <w:tcPr>
            <w:tcW w:w="851" w:type="dxa"/>
            <w:tcBorders>
              <w:top w:val="nil"/>
              <w:left w:val="nil"/>
              <w:bottom w:val="single" w:color="auto" w:sz="4" w:space="0"/>
              <w:right w:val="single" w:color="auto" w:sz="4" w:space="0"/>
            </w:tcBorders>
            <w:shd w:val="clear" w:color="auto" w:fill="auto"/>
            <w:noWrap/>
            <w:vAlign w:val="bottom"/>
          </w:tcPr>
          <w:p w14:paraId="4A86C609">
            <w:pPr>
              <w:pStyle w:val="40"/>
            </w:pPr>
            <w:r>
              <w:rPr>
                <w:rFonts w:hint="eastAsia"/>
              </w:rPr>
              <w:t>2013</w:t>
            </w:r>
          </w:p>
        </w:tc>
        <w:tc>
          <w:tcPr>
            <w:tcW w:w="1108" w:type="dxa"/>
            <w:tcBorders>
              <w:top w:val="nil"/>
              <w:left w:val="nil"/>
              <w:bottom w:val="single" w:color="auto" w:sz="4" w:space="0"/>
              <w:right w:val="single" w:color="auto" w:sz="4" w:space="0"/>
            </w:tcBorders>
            <w:shd w:val="clear" w:color="auto" w:fill="auto"/>
            <w:noWrap/>
            <w:vAlign w:val="bottom"/>
          </w:tcPr>
          <w:p w14:paraId="772CD401">
            <w:pPr>
              <w:pStyle w:val="40"/>
            </w:pPr>
            <w:r>
              <w:rPr>
                <w:rFonts w:hint="eastAsia"/>
              </w:rPr>
              <w:t>2332</w:t>
            </w:r>
          </w:p>
        </w:tc>
        <w:tc>
          <w:tcPr>
            <w:tcW w:w="1109" w:type="dxa"/>
            <w:tcBorders>
              <w:top w:val="nil"/>
              <w:left w:val="nil"/>
              <w:bottom w:val="single" w:color="auto" w:sz="4" w:space="0"/>
              <w:right w:val="single" w:color="auto" w:sz="4" w:space="0"/>
            </w:tcBorders>
            <w:shd w:val="clear" w:color="auto" w:fill="auto"/>
            <w:noWrap/>
            <w:vAlign w:val="bottom"/>
          </w:tcPr>
          <w:p w14:paraId="73E1C22C">
            <w:pPr>
              <w:pStyle w:val="40"/>
            </w:pPr>
            <w:r>
              <w:rPr>
                <w:rFonts w:hint="eastAsia"/>
              </w:rPr>
              <w:t>801</w:t>
            </w:r>
          </w:p>
        </w:tc>
        <w:tc>
          <w:tcPr>
            <w:tcW w:w="1109" w:type="dxa"/>
            <w:tcBorders>
              <w:top w:val="nil"/>
              <w:left w:val="nil"/>
              <w:bottom w:val="single" w:color="auto" w:sz="4" w:space="0"/>
              <w:right w:val="single" w:color="auto" w:sz="4" w:space="0"/>
            </w:tcBorders>
            <w:shd w:val="clear" w:color="auto" w:fill="auto"/>
            <w:noWrap/>
            <w:vAlign w:val="bottom"/>
          </w:tcPr>
          <w:p w14:paraId="347230C3">
            <w:pPr>
              <w:pStyle w:val="40"/>
            </w:pPr>
            <w:r>
              <w:rPr>
                <w:rFonts w:hint="eastAsia"/>
              </w:rPr>
              <w:t>1312</w:t>
            </w:r>
          </w:p>
        </w:tc>
        <w:tc>
          <w:tcPr>
            <w:tcW w:w="1109" w:type="dxa"/>
            <w:tcBorders>
              <w:top w:val="nil"/>
              <w:left w:val="nil"/>
              <w:bottom w:val="single" w:color="auto" w:sz="4" w:space="0"/>
              <w:right w:val="single" w:color="auto" w:sz="4" w:space="0"/>
            </w:tcBorders>
            <w:shd w:val="clear" w:color="auto" w:fill="auto"/>
            <w:noWrap/>
            <w:vAlign w:val="bottom"/>
          </w:tcPr>
          <w:p w14:paraId="421FBC25">
            <w:pPr>
              <w:pStyle w:val="40"/>
            </w:pPr>
            <w:r>
              <w:rPr>
                <w:rFonts w:hint="eastAsia"/>
              </w:rPr>
              <w:t>219</w:t>
            </w:r>
          </w:p>
        </w:tc>
        <w:tc>
          <w:tcPr>
            <w:tcW w:w="1109" w:type="dxa"/>
            <w:tcBorders>
              <w:top w:val="nil"/>
              <w:left w:val="nil"/>
              <w:bottom w:val="single" w:color="auto" w:sz="4" w:space="0"/>
              <w:right w:val="single" w:color="auto" w:sz="4" w:space="0"/>
            </w:tcBorders>
            <w:shd w:val="clear" w:color="auto" w:fill="auto"/>
            <w:noWrap/>
            <w:vAlign w:val="bottom"/>
          </w:tcPr>
          <w:p w14:paraId="242691BF">
            <w:pPr>
              <w:pStyle w:val="40"/>
            </w:pPr>
            <w:r>
              <w:rPr>
                <w:rFonts w:hint="eastAsia"/>
              </w:rPr>
              <w:t>198</w:t>
            </w:r>
          </w:p>
        </w:tc>
        <w:tc>
          <w:tcPr>
            <w:tcW w:w="1109" w:type="dxa"/>
            <w:tcBorders>
              <w:top w:val="nil"/>
              <w:left w:val="nil"/>
              <w:bottom w:val="single" w:color="auto" w:sz="4" w:space="0"/>
              <w:right w:val="single" w:color="auto" w:sz="4" w:space="0"/>
            </w:tcBorders>
            <w:shd w:val="clear" w:color="auto" w:fill="auto"/>
            <w:noWrap/>
            <w:vAlign w:val="bottom"/>
          </w:tcPr>
          <w:p w14:paraId="6D59402D">
            <w:pPr>
              <w:pStyle w:val="40"/>
            </w:pPr>
            <w:r>
              <w:rPr>
                <w:rFonts w:hint="eastAsia"/>
              </w:rPr>
              <w:t>976</w:t>
            </w:r>
          </w:p>
        </w:tc>
        <w:tc>
          <w:tcPr>
            <w:tcW w:w="1109" w:type="dxa"/>
            <w:tcBorders>
              <w:top w:val="nil"/>
              <w:left w:val="nil"/>
              <w:bottom w:val="single" w:color="auto" w:sz="4" w:space="0"/>
              <w:right w:val="single" w:color="auto" w:sz="4" w:space="0"/>
            </w:tcBorders>
            <w:shd w:val="clear" w:color="auto" w:fill="auto"/>
            <w:noWrap/>
            <w:vAlign w:val="bottom"/>
          </w:tcPr>
          <w:p w14:paraId="30F4AD2C">
            <w:pPr>
              <w:pStyle w:val="40"/>
            </w:pPr>
            <w:r>
              <w:rPr>
                <w:rFonts w:hint="eastAsia"/>
              </w:rPr>
              <w:t>1158</w:t>
            </w:r>
          </w:p>
        </w:tc>
      </w:tr>
      <w:tr w14:paraId="0A3E13AE">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3BBFDD08">
            <w:pPr>
              <w:pStyle w:val="40"/>
            </w:pPr>
          </w:p>
        </w:tc>
        <w:tc>
          <w:tcPr>
            <w:tcW w:w="851" w:type="dxa"/>
            <w:tcBorders>
              <w:top w:val="nil"/>
              <w:left w:val="nil"/>
              <w:bottom w:val="single" w:color="auto" w:sz="4" w:space="0"/>
              <w:right w:val="single" w:color="auto" w:sz="4" w:space="0"/>
            </w:tcBorders>
            <w:shd w:val="clear" w:color="auto" w:fill="auto"/>
            <w:noWrap/>
            <w:vAlign w:val="bottom"/>
          </w:tcPr>
          <w:p w14:paraId="544A08D5">
            <w:pPr>
              <w:pStyle w:val="40"/>
            </w:pPr>
            <w:r>
              <w:rPr>
                <w:rFonts w:hint="eastAsia"/>
              </w:rPr>
              <w:t>2014</w:t>
            </w:r>
          </w:p>
        </w:tc>
        <w:tc>
          <w:tcPr>
            <w:tcW w:w="1108" w:type="dxa"/>
            <w:tcBorders>
              <w:top w:val="nil"/>
              <w:left w:val="nil"/>
              <w:bottom w:val="single" w:color="auto" w:sz="4" w:space="0"/>
              <w:right w:val="single" w:color="auto" w:sz="4" w:space="0"/>
            </w:tcBorders>
            <w:shd w:val="clear" w:color="auto" w:fill="auto"/>
            <w:noWrap/>
            <w:vAlign w:val="bottom"/>
          </w:tcPr>
          <w:p w14:paraId="05B40B76">
            <w:pPr>
              <w:pStyle w:val="40"/>
            </w:pPr>
            <w:r>
              <w:rPr>
                <w:rFonts w:hint="eastAsia"/>
              </w:rPr>
              <w:t>2438</w:t>
            </w:r>
          </w:p>
        </w:tc>
        <w:tc>
          <w:tcPr>
            <w:tcW w:w="1109" w:type="dxa"/>
            <w:tcBorders>
              <w:top w:val="nil"/>
              <w:left w:val="nil"/>
              <w:bottom w:val="single" w:color="auto" w:sz="4" w:space="0"/>
              <w:right w:val="single" w:color="auto" w:sz="4" w:space="0"/>
            </w:tcBorders>
            <w:shd w:val="clear" w:color="auto" w:fill="auto"/>
            <w:noWrap/>
            <w:vAlign w:val="bottom"/>
          </w:tcPr>
          <w:p w14:paraId="7E808065">
            <w:pPr>
              <w:pStyle w:val="40"/>
            </w:pPr>
            <w:r>
              <w:rPr>
                <w:rFonts w:hint="eastAsia"/>
              </w:rPr>
              <w:t>841</w:t>
            </w:r>
          </w:p>
        </w:tc>
        <w:tc>
          <w:tcPr>
            <w:tcW w:w="1109" w:type="dxa"/>
            <w:tcBorders>
              <w:top w:val="nil"/>
              <w:left w:val="nil"/>
              <w:bottom w:val="single" w:color="auto" w:sz="4" w:space="0"/>
              <w:right w:val="single" w:color="auto" w:sz="4" w:space="0"/>
            </w:tcBorders>
            <w:shd w:val="clear" w:color="auto" w:fill="auto"/>
            <w:noWrap/>
            <w:vAlign w:val="bottom"/>
          </w:tcPr>
          <w:p w14:paraId="7D56BDF9">
            <w:pPr>
              <w:pStyle w:val="40"/>
            </w:pPr>
            <w:r>
              <w:rPr>
                <w:rFonts w:hint="eastAsia"/>
              </w:rPr>
              <w:t>1376</w:t>
            </w:r>
          </w:p>
        </w:tc>
        <w:tc>
          <w:tcPr>
            <w:tcW w:w="1109" w:type="dxa"/>
            <w:tcBorders>
              <w:top w:val="nil"/>
              <w:left w:val="nil"/>
              <w:bottom w:val="single" w:color="auto" w:sz="4" w:space="0"/>
              <w:right w:val="single" w:color="auto" w:sz="4" w:space="0"/>
            </w:tcBorders>
            <w:shd w:val="clear" w:color="auto" w:fill="auto"/>
            <w:noWrap/>
            <w:vAlign w:val="bottom"/>
          </w:tcPr>
          <w:p w14:paraId="44225DED">
            <w:pPr>
              <w:pStyle w:val="40"/>
            </w:pPr>
            <w:r>
              <w:rPr>
                <w:rFonts w:hint="eastAsia"/>
              </w:rPr>
              <w:t>221</w:t>
            </w:r>
          </w:p>
        </w:tc>
        <w:tc>
          <w:tcPr>
            <w:tcW w:w="1109" w:type="dxa"/>
            <w:tcBorders>
              <w:top w:val="nil"/>
              <w:left w:val="nil"/>
              <w:bottom w:val="single" w:color="auto" w:sz="4" w:space="0"/>
              <w:right w:val="single" w:color="auto" w:sz="4" w:space="0"/>
            </w:tcBorders>
            <w:shd w:val="clear" w:color="auto" w:fill="auto"/>
            <w:noWrap/>
            <w:vAlign w:val="bottom"/>
          </w:tcPr>
          <w:p w14:paraId="1B737EF4">
            <w:pPr>
              <w:pStyle w:val="40"/>
            </w:pPr>
            <w:r>
              <w:rPr>
                <w:rFonts w:hint="eastAsia"/>
              </w:rPr>
              <w:t>197</w:t>
            </w:r>
          </w:p>
        </w:tc>
        <w:tc>
          <w:tcPr>
            <w:tcW w:w="1109" w:type="dxa"/>
            <w:tcBorders>
              <w:top w:val="nil"/>
              <w:left w:val="nil"/>
              <w:bottom w:val="single" w:color="auto" w:sz="4" w:space="0"/>
              <w:right w:val="single" w:color="auto" w:sz="4" w:space="0"/>
            </w:tcBorders>
            <w:shd w:val="clear" w:color="auto" w:fill="auto"/>
            <w:noWrap/>
            <w:vAlign w:val="bottom"/>
          </w:tcPr>
          <w:p w14:paraId="5F69AB12">
            <w:pPr>
              <w:pStyle w:val="40"/>
            </w:pPr>
            <w:r>
              <w:rPr>
                <w:rFonts w:hint="eastAsia"/>
              </w:rPr>
              <w:t>1004</w:t>
            </w:r>
          </w:p>
        </w:tc>
        <w:tc>
          <w:tcPr>
            <w:tcW w:w="1109" w:type="dxa"/>
            <w:tcBorders>
              <w:top w:val="nil"/>
              <w:left w:val="nil"/>
              <w:bottom w:val="single" w:color="auto" w:sz="4" w:space="0"/>
              <w:right w:val="single" w:color="auto" w:sz="4" w:space="0"/>
            </w:tcBorders>
            <w:shd w:val="clear" w:color="auto" w:fill="auto"/>
            <w:noWrap/>
            <w:vAlign w:val="bottom"/>
          </w:tcPr>
          <w:p w14:paraId="2B8C9D5E">
            <w:pPr>
              <w:pStyle w:val="40"/>
            </w:pPr>
            <w:r>
              <w:rPr>
                <w:rFonts w:hint="eastAsia"/>
              </w:rPr>
              <w:t>1238</w:t>
            </w:r>
          </w:p>
        </w:tc>
      </w:tr>
      <w:tr w14:paraId="1851A4DE">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20FD20FB">
            <w:pPr>
              <w:pStyle w:val="40"/>
            </w:pPr>
          </w:p>
        </w:tc>
        <w:tc>
          <w:tcPr>
            <w:tcW w:w="851" w:type="dxa"/>
            <w:tcBorders>
              <w:top w:val="nil"/>
              <w:left w:val="nil"/>
              <w:bottom w:val="single" w:color="auto" w:sz="4" w:space="0"/>
              <w:right w:val="single" w:color="auto" w:sz="4" w:space="0"/>
            </w:tcBorders>
            <w:shd w:val="clear" w:color="auto" w:fill="auto"/>
            <w:noWrap/>
            <w:vAlign w:val="bottom"/>
          </w:tcPr>
          <w:p w14:paraId="252D3F63">
            <w:pPr>
              <w:pStyle w:val="40"/>
            </w:pPr>
            <w:r>
              <w:rPr>
                <w:rFonts w:hint="eastAsia"/>
              </w:rPr>
              <w:t>2015</w:t>
            </w:r>
          </w:p>
        </w:tc>
        <w:tc>
          <w:tcPr>
            <w:tcW w:w="1108" w:type="dxa"/>
            <w:tcBorders>
              <w:top w:val="nil"/>
              <w:left w:val="nil"/>
              <w:bottom w:val="single" w:color="auto" w:sz="4" w:space="0"/>
              <w:right w:val="single" w:color="auto" w:sz="4" w:space="0"/>
            </w:tcBorders>
            <w:shd w:val="clear" w:color="auto" w:fill="auto"/>
            <w:noWrap/>
            <w:vAlign w:val="bottom"/>
          </w:tcPr>
          <w:p w14:paraId="583A3C47">
            <w:pPr>
              <w:pStyle w:val="40"/>
            </w:pPr>
            <w:r>
              <w:rPr>
                <w:rFonts w:hint="eastAsia"/>
              </w:rPr>
              <w:t>2610</w:t>
            </w:r>
          </w:p>
        </w:tc>
        <w:tc>
          <w:tcPr>
            <w:tcW w:w="1109" w:type="dxa"/>
            <w:tcBorders>
              <w:top w:val="nil"/>
              <w:left w:val="nil"/>
              <w:bottom w:val="single" w:color="auto" w:sz="4" w:space="0"/>
              <w:right w:val="single" w:color="auto" w:sz="4" w:space="0"/>
            </w:tcBorders>
            <w:shd w:val="clear" w:color="auto" w:fill="auto"/>
            <w:noWrap/>
            <w:vAlign w:val="bottom"/>
          </w:tcPr>
          <w:p w14:paraId="436983BC">
            <w:pPr>
              <w:pStyle w:val="40"/>
            </w:pPr>
            <w:r>
              <w:rPr>
                <w:rFonts w:hint="eastAsia"/>
              </w:rPr>
              <w:t>900</w:t>
            </w:r>
          </w:p>
        </w:tc>
        <w:tc>
          <w:tcPr>
            <w:tcW w:w="1109" w:type="dxa"/>
            <w:tcBorders>
              <w:top w:val="nil"/>
              <w:left w:val="nil"/>
              <w:bottom w:val="single" w:color="auto" w:sz="4" w:space="0"/>
              <w:right w:val="single" w:color="auto" w:sz="4" w:space="0"/>
            </w:tcBorders>
            <w:shd w:val="clear" w:color="auto" w:fill="auto"/>
            <w:noWrap/>
            <w:vAlign w:val="bottom"/>
          </w:tcPr>
          <w:p w14:paraId="6594C68B">
            <w:pPr>
              <w:pStyle w:val="40"/>
            </w:pPr>
            <w:r>
              <w:rPr>
                <w:rFonts w:hint="eastAsia"/>
              </w:rPr>
              <w:t>1473</w:t>
            </w:r>
          </w:p>
        </w:tc>
        <w:tc>
          <w:tcPr>
            <w:tcW w:w="1109" w:type="dxa"/>
            <w:tcBorders>
              <w:top w:val="nil"/>
              <w:left w:val="nil"/>
              <w:bottom w:val="single" w:color="auto" w:sz="4" w:space="0"/>
              <w:right w:val="single" w:color="auto" w:sz="4" w:space="0"/>
            </w:tcBorders>
            <w:shd w:val="clear" w:color="auto" w:fill="auto"/>
            <w:noWrap/>
            <w:vAlign w:val="bottom"/>
          </w:tcPr>
          <w:p w14:paraId="059DA797">
            <w:pPr>
              <w:pStyle w:val="40"/>
            </w:pPr>
            <w:r>
              <w:rPr>
                <w:rFonts w:hint="eastAsia"/>
              </w:rPr>
              <w:t>237</w:t>
            </w:r>
          </w:p>
        </w:tc>
        <w:tc>
          <w:tcPr>
            <w:tcW w:w="1109" w:type="dxa"/>
            <w:tcBorders>
              <w:top w:val="nil"/>
              <w:left w:val="nil"/>
              <w:bottom w:val="single" w:color="auto" w:sz="4" w:space="0"/>
              <w:right w:val="single" w:color="auto" w:sz="4" w:space="0"/>
            </w:tcBorders>
            <w:shd w:val="clear" w:color="auto" w:fill="auto"/>
            <w:noWrap/>
            <w:vAlign w:val="bottom"/>
          </w:tcPr>
          <w:p w14:paraId="5AA55DF3">
            <w:pPr>
              <w:pStyle w:val="40"/>
            </w:pPr>
            <w:r>
              <w:rPr>
                <w:rFonts w:hint="eastAsia"/>
              </w:rPr>
              <w:t>206</w:t>
            </w:r>
          </w:p>
        </w:tc>
        <w:tc>
          <w:tcPr>
            <w:tcW w:w="1109" w:type="dxa"/>
            <w:tcBorders>
              <w:top w:val="nil"/>
              <w:left w:val="nil"/>
              <w:bottom w:val="single" w:color="auto" w:sz="4" w:space="0"/>
              <w:right w:val="single" w:color="auto" w:sz="4" w:space="0"/>
            </w:tcBorders>
            <w:shd w:val="clear" w:color="auto" w:fill="auto"/>
            <w:noWrap/>
            <w:vAlign w:val="bottom"/>
          </w:tcPr>
          <w:p w14:paraId="356C1EB1">
            <w:pPr>
              <w:pStyle w:val="40"/>
            </w:pPr>
            <w:r>
              <w:rPr>
                <w:rFonts w:hint="eastAsia"/>
              </w:rPr>
              <w:t>1080</w:t>
            </w:r>
          </w:p>
        </w:tc>
        <w:tc>
          <w:tcPr>
            <w:tcW w:w="1109" w:type="dxa"/>
            <w:tcBorders>
              <w:top w:val="nil"/>
              <w:left w:val="nil"/>
              <w:bottom w:val="single" w:color="auto" w:sz="4" w:space="0"/>
              <w:right w:val="single" w:color="auto" w:sz="4" w:space="0"/>
            </w:tcBorders>
            <w:shd w:val="clear" w:color="auto" w:fill="auto"/>
            <w:noWrap/>
            <w:vAlign w:val="bottom"/>
          </w:tcPr>
          <w:p w14:paraId="3B8F3D74">
            <w:pPr>
              <w:pStyle w:val="40"/>
            </w:pPr>
            <w:r>
              <w:rPr>
                <w:rFonts w:hint="eastAsia"/>
              </w:rPr>
              <w:t>1325</w:t>
            </w:r>
          </w:p>
        </w:tc>
      </w:tr>
      <w:tr w14:paraId="17208357">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64F823A8">
            <w:pPr>
              <w:pStyle w:val="40"/>
            </w:pPr>
          </w:p>
        </w:tc>
        <w:tc>
          <w:tcPr>
            <w:tcW w:w="851" w:type="dxa"/>
            <w:tcBorders>
              <w:top w:val="nil"/>
              <w:left w:val="nil"/>
              <w:bottom w:val="single" w:color="auto" w:sz="4" w:space="0"/>
              <w:right w:val="single" w:color="auto" w:sz="4" w:space="0"/>
            </w:tcBorders>
            <w:shd w:val="clear" w:color="auto" w:fill="auto"/>
            <w:noWrap/>
            <w:vAlign w:val="bottom"/>
          </w:tcPr>
          <w:p w14:paraId="513F3B89">
            <w:pPr>
              <w:pStyle w:val="40"/>
            </w:pPr>
            <w:r>
              <w:rPr>
                <w:rFonts w:hint="eastAsia"/>
              </w:rPr>
              <w:t>2016</w:t>
            </w:r>
          </w:p>
        </w:tc>
        <w:tc>
          <w:tcPr>
            <w:tcW w:w="1108" w:type="dxa"/>
            <w:tcBorders>
              <w:top w:val="nil"/>
              <w:left w:val="nil"/>
              <w:bottom w:val="single" w:color="auto" w:sz="4" w:space="0"/>
              <w:right w:val="single" w:color="auto" w:sz="4" w:space="0"/>
            </w:tcBorders>
            <w:shd w:val="clear" w:color="auto" w:fill="auto"/>
            <w:noWrap/>
            <w:vAlign w:val="bottom"/>
          </w:tcPr>
          <w:p w14:paraId="278C8AE8">
            <w:pPr>
              <w:pStyle w:val="40"/>
            </w:pPr>
            <w:r>
              <w:rPr>
                <w:rFonts w:hint="eastAsia"/>
              </w:rPr>
              <w:t>2775</w:t>
            </w:r>
          </w:p>
        </w:tc>
        <w:tc>
          <w:tcPr>
            <w:tcW w:w="1109" w:type="dxa"/>
            <w:tcBorders>
              <w:top w:val="nil"/>
              <w:left w:val="nil"/>
              <w:bottom w:val="single" w:color="auto" w:sz="4" w:space="0"/>
              <w:right w:val="single" w:color="auto" w:sz="4" w:space="0"/>
            </w:tcBorders>
            <w:shd w:val="clear" w:color="auto" w:fill="auto"/>
            <w:noWrap/>
            <w:vAlign w:val="bottom"/>
          </w:tcPr>
          <w:p w14:paraId="263B71CB">
            <w:pPr>
              <w:pStyle w:val="40"/>
            </w:pPr>
            <w:r>
              <w:rPr>
                <w:rFonts w:hint="eastAsia"/>
              </w:rPr>
              <w:t>955</w:t>
            </w:r>
          </w:p>
        </w:tc>
        <w:tc>
          <w:tcPr>
            <w:tcW w:w="1109" w:type="dxa"/>
            <w:tcBorders>
              <w:top w:val="nil"/>
              <w:left w:val="nil"/>
              <w:bottom w:val="single" w:color="auto" w:sz="4" w:space="0"/>
              <w:right w:val="single" w:color="auto" w:sz="4" w:space="0"/>
            </w:tcBorders>
            <w:shd w:val="clear" w:color="auto" w:fill="auto"/>
            <w:noWrap/>
            <w:vAlign w:val="bottom"/>
          </w:tcPr>
          <w:p w14:paraId="0CCB982A">
            <w:pPr>
              <w:pStyle w:val="40"/>
            </w:pPr>
            <w:r>
              <w:rPr>
                <w:rFonts w:hint="eastAsia"/>
              </w:rPr>
              <w:t>1564</w:t>
            </w:r>
          </w:p>
        </w:tc>
        <w:tc>
          <w:tcPr>
            <w:tcW w:w="1109" w:type="dxa"/>
            <w:tcBorders>
              <w:top w:val="nil"/>
              <w:left w:val="nil"/>
              <w:bottom w:val="single" w:color="auto" w:sz="4" w:space="0"/>
              <w:right w:val="single" w:color="auto" w:sz="4" w:space="0"/>
            </w:tcBorders>
            <w:shd w:val="clear" w:color="auto" w:fill="auto"/>
            <w:noWrap/>
            <w:vAlign w:val="bottom"/>
          </w:tcPr>
          <w:p w14:paraId="77ED3BC4">
            <w:pPr>
              <w:pStyle w:val="40"/>
            </w:pPr>
            <w:r>
              <w:rPr>
                <w:rFonts w:hint="eastAsia"/>
              </w:rPr>
              <w:t>257</w:t>
            </w:r>
          </w:p>
        </w:tc>
        <w:tc>
          <w:tcPr>
            <w:tcW w:w="1109" w:type="dxa"/>
            <w:tcBorders>
              <w:top w:val="nil"/>
              <w:left w:val="nil"/>
              <w:bottom w:val="single" w:color="auto" w:sz="4" w:space="0"/>
              <w:right w:val="single" w:color="auto" w:sz="4" w:space="0"/>
            </w:tcBorders>
            <w:shd w:val="clear" w:color="auto" w:fill="auto"/>
            <w:noWrap/>
            <w:vAlign w:val="bottom"/>
          </w:tcPr>
          <w:p w14:paraId="7FFA5660">
            <w:pPr>
              <w:pStyle w:val="40"/>
            </w:pPr>
            <w:r>
              <w:rPr>
                <w:rFonts w:hint="eastAsia"/>
              </w:rPr>
              <w:t>221</w:t>
            </w:r>
          </w:p>
        </w:tc>
        <w:tc>
          <w:tcPr>
            <w:tcW w:w="1109" w:type="dxa"/>
            <w:tcBorders>
              <w:top w:val="nil"/>
              <w:left w:val="nil"/>
              <w:bottom w:val="single" w:color="auto" w:sz="4" w:space="0"/>
              <w:right w:val="single" w:color="auto" w:sz="4" w:space="0"/>
            </w:tcBorders>
            <w:shd w:val="clear" w:color="auto" w:fill="auto"/>
            <w:noWrap/>
            <w:vAlign w:val="bottom"/>
          </w:tcPr>
          <w:p w14:paraId="55A98703">
            <w:pPr>
              <w:pStyle w:val="40"/>
            </w:pPr>
            <w:r>
              <w:rPr>
                <w:rFonts w:hint="eastAsia"/>
              </w:rPr>
              <w:t>1163</w:t>
            </w:r>
          </w:p>
        </w:tc>
        <w:tc>
          <w:tcPr>
            <w:tcW w:w="1109" w:type="dxa"/>
            <w:tcBorders>
              <w:top w:val="nil"/>
              <w:left w:val="nil"/>
              <w:bottom w:val="single" w:color="auto" w:sz="4" w:space="0"/>
              <w:right w:val="single" w:color="auto" w:sz="4" w:space="0"/>
            </w:tcBorders>
            <w:shd w:val="clear" w:color="auto" w:fill="auto"/>
            <w:noWrap/>
            <w:vAlign w:val="bottom"/>
          </w:tcPr>
          <w:p w14:paraId="012F53E3">
            <w:pPr>
              <w:pStyle w:val="40"/>
            </w:pPr>
            <w:r>
              <w:rPr>
                <w:rFonts w:hint="eastAsia"/>
              </w:rPr>
              <w:t>1392</w:t>
            </w:r>
          </w:p>
        </w:tc>
      </w:tr>
      <w:tr w14:paraId="34BA265C">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3A1F4B17">
            <w:pPr>
              <w:pStyle w:val="40"/>
            </w:pPr>
          </w:p>
        </w:tc>
        <w:tc>
          <w:tcPr>
            <w:tcW w:w="851" w:type="dxa"/>
            <w:tcBorders>
              <w:top w:val="nil"/>
              <w:left w:val="nil"/>
              <w:bottom w:val="single" w:color="auto" w:sz="4" w:space="0"/>
              <w:right w:val="single" w:color="auto" w:sz="4" w:space="0"/>
            </w:tcBorders>
            <w:shd w:val="clear" w:color="auto" w:fill="auto"/>
            <w:noWrap/>
            <w:vAlign w:val="bottom"/>
          </w:tcPr>
          <w:p w14:paraId="104B0E49">
            <w:pPr>
              <w:pStyle w:val="40"/>
            </w:pPr>
            <w:r>
              <w:rPr>
                <w:rFonts w:hint="eastAsia"/>
              </w:rPr>
              <w:t>2017</w:t>
            </w:r>
          </w:p>
        </w:tc>
        <w:tc>
          <w:tcPr>
            <w:tcW w:w="1108" w:type="dxa"/>
            <w:tcBorders>
              <w:top w:val="nil"/>
              <w:left w:val="nil"/>
              <w:bottom w:val="single" w:color="auto" w:sz="4" w:space="0"/>
              <w:right w:val="single" w:color="auto" w:sz="4" w:space="0"/>
            </w:tcBorders>
            <w:shd w:val="clear" w:color="auto" w:fill="auto"/>
            <w:noWrap/>
            <w:vAlign w:val="bottom"/>
          </w:tcPr>
          <w:p w14:paraId="0E53D2F6">
            <w:pPr>
              <w:pStyle w:val="40"/>
            </w:pPr>
            <w:r>
              <w:rPr>
                <w:rFonts w:hint="eastAsia"/>
              </w:rPr>
              <w:t>3039</w:t>
            </w:r>
          </w:p>
        </w:tc>
        <w:tc>
          <w:tcPr>
            <w:tcW w:w="1109" w:type="dxa"/>
            <w:tcBorders>
              <w:top w:val="nil"/>
              <w:left w:val="nil"/>
              <w:bottom w:val="single" w:color="auto" w:sz="4" w:space="0"/>
              <w:right w:val="single" w:color="auto" w:sz="4" w:space="0"/>
            </w:tcBorders>
            <w:shd w:val="clear" w:color="auto" w:fill="auto"/>
            <w:noWrap/>
            <w:vAlign w:val="bottom"/>
          </w:tcPr>
          <w:p w14:paraId="3C34CAA8">
            <w:pPr>
              <w:pStyle w:val="40"/>
            </w:pPr>
            <w:r>
              <w:rPr>
                <w:rFonts w:hint="eastAsia"/>
              </w:rPr>
              <w:t>1048</w:t>
            </w:r>
          </w:p>
        </w:tc>
        <w:tc>
          <w:tcPr>
            <w:tcW w:w="1109" w:type="dxa"/>
            <w:tcBorders>
              <w:top w:val="nil"/>
              <w:left w:val="nil"/>
              <w:bottom w:val="single" w:color="auto" w:sz="4" w:space="0"/>
              <w:right w:val="single" w:color="auto" w:sz="4" w:space="0"/>
            </w:tcBorders>
            <w:shd w:val="clear" w:color="auto" w:fill="auto"/>
            <w:noWrap/>
            <w:vAlign w:val="bottom"/>
          </w:tcPr>
          <w:p w14:paraId="5C766005">
            <w:pPr>
              <w:pStyle w:val="40"/>
            </w:pPr>
            <w:r>
              <w:rPr>
                <w:rFonts w:hint="eastAsia"/>
              </w:rPr>
              <w:t>1716</w:t>
            </w:r>
          </w:p>
        </w:tc>
        <w:tc>
          <w:tcPr>
            <w:tcW w:w="1109" w:type="dxa"/>
            <w:tcBorders>
              <w:top w:val="nil"/>
              <w:left w:val="nil"/>
              <w:bottom w:val="single" w:color="auto" w:sz="4" w:space="0"/>
              <w:right w:val="single" w:color="auto" w:sz="4" w:space="0"/>
            </w:tcBorders>
            <w:shd w:val="clear" w:color="auto" w:fill="auto"/>
            <w:noWrap/>
            <w:vAlign w:val="bottom"/>
          </w:tcPr>
          <w:p w14:paraId="4A5243CE">
            <w:pPr>
              <w:pStyle w:val="40"/>
            </w:pPr>
            <w:r>
              <w:rPr>
                <w:rFonts w:hint="eastAsia"/>
              </w:rPr>
              <w:t>275</w:t>
            </w:r>
          </w:p>
        </w:tc>
        <w:tc>
          <w:tcPr>
            <w:tcW w:w="1109" w:type="dxa"/>
            <w:tcBorders>
              <w:top w:val="nil"/>
              <w:left w:val="nil"/>
              <w:bottom w:val="single" w:color="auto" w:sz="4" w:space="0"/>
              <w:right w:val="single" w:color="auto" w:sz="4" w:space="0"/>
            </w:tcBorders>
            <w:shd w:val="clear" w:color="auto" w:fill="auto"/>
            <w:noWrap/>
            <w:vAlign w:val="bottom"/>
          </w:tcPr>
          <w:p w14:paraId="54FD19B6">
            <w:pPr>
              <w:pStyle w:val="40"/>
            </w:pPr>
            <w:r>
              <w:rPr>
                <w:rFonts w:hint="eastAsia"/>
              </w:rPr>
              <w:t>234</w:t>
            </w:r>
          </w:p>
        </w:tc>
        <w:tc>
          <w:tcPr>
            <w:tcW w:w="1109" w:type="dxa"/>
            <w:tcBorders>
              <w:top w:val="nil"/>
              <w:left w:val="nil"/>
              <w:bottom w:val="single" w:color="auto" w:sz="4" w:space="0"/>
              <w:right w:val="single" w:color="auto" w:sz="4" w:space="0"/>
            </w:tcBorders>
            <w:shd w:val="clear" w:color="auto" w:fill="auto"/>
            <w:noWrap/>
            <w:vAlign w:val="bottom"/>
          </w:tcPr>
          <w:p w14:paraId="0803A893">
            <w:pPr>
              <w:pStyle w:val="40"/>
            </w:pPr>
            <w:r>
              <w:rPr>
                <w:rFonts w:hint="eastAsia"/>
              </w:rPr>
              <w:t>1224</w:t>
            </w:r>
          </w:p>
        </w:tc>
        <w:tc>
          <w:tcPr>
            <w:tcW w:w="1109" w:type="dxa"/>
            <w:tcBorders>
              <w:top w:val="nil"/>
              <w:left w:val="nil"/>
              <w:bottom w:val="single" w:color="auto" w:sz="4" w:space="0"/>
              <w:right w:val="single" w:color="auto" w:sz="4" w:space="0"/>
            </w:tcBorders>
            <w:shd w:val="clear" w:color="auto" w:fill="auto"/>
            <w:noWrap/>
            <w:vAlign w:val="bottom"/>
          </w:tcPr>
          <w:p w14:paraId="5F21B278">
            <w:pPr>
              <w:pStyle w:val="40"/>
            </w:pPr>
            <w:r>
              <w:rPr>
                <w:rFonts w:hint="eastAsia"/>
              </w:rPr>
              <w:t>1582</w:t>
            </w:r>
          </w:p>
        </w:tc>
      </w:tr>
      <w:tr w14:paraId="0CECC0F0">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2FBCD90D">
            <w:pPr>
              <w:pStyle w:val="40"/>
            </w:pPr>
          </w:p>
        </w:tc>
        <w:tc>
          <w:tcPr>
            <w:tcW w:w="851" w:type="dxa"/>
            <w:tcBorders>
              <w:top w:val="nil"/>
              <w:left w:val="nil"/>
              <w:bottom w:val="single" w:color="auto" w:sz="4" w:space="0"/>
              <w:right w:val="single" w:color="auto" w:sz="4" w:space="0"/>
            </w:tcBorders>
            <w:shd w:val="clear" w:color="auto" w:fill="auto"/>
            <w:noWrap/>
            <w:vAlign w:val="bottom"/>
          </w:tcPr>
          <w:p w14:paraId="1660A583">
            <w:pPr>
              <w:pStyle w:val="40"/>
            </w:pPr>
            <w:r>
              <w:rPr>
                <w:rFonts w:hint="eastAsia"/>
              </w:rPr>
              <w:t>2018</w:t>
            </w:r>
          </w:p>
        </w:tc>
        <w:tc>
          <w:tcPr>
            <w:tcW w:w="1108" w:type="dxa"/>
            <w:tcBorders>
              <w:top w:val="nil"/>
              <w:left w:val="nil"/>
              <w:bottom w:val="single" w:color="auto" w:sz="4" w:space="0"/>
              <w:right w:val="single" w:color="auto" w:sz="4" w:space="0"/>
            </w:tcBorders>
            <w:shd w:val="clear" w:color="auto" w:fill="auto"/>
            <w:noWrap/>
            <w:vAlign w:val="bottom"/>
          </w:tcPr>
          <w:p w14:paraId="1F0D76D6">
            <w:pPr>
              <w:pStyle w:val="40"/>
            </w:pPr>
            <w:r>
              <w:rPr>
                <w:rFonts w:hint="eastAsia"/>
              </w:rPr>
              <w:t>3275</w:t>
            </w:r>
          </w:p>
        </w:tc>
        <w:tc>
          <w:tcPr>
            <w:tcW w:w="1109" w:type="dxa"/>
            <w:tcBorders>
              <w:top w:val="nil"/>
              <w:left w:val="nil"/>
              <w:bottom w:val="single" w:color="auto" w:sz="4" w:space="0"/>
              <w:right w:val="single" w:color="auto" w:sz="4" w:space="0"/>
            </w:tcBorders>
            <w:shd w:val="clear" w:color="auto" w:fill="auto"/>
            <w:noWrap/>
            <w:vAlign w:val="bottom"/>
          </w:tcPr>
          <w:p w14:paraId="7C7C3FFA">
            <w:pPr>
              <w:pStyle w:val="40"/>
            </w:pPr>
            <w:r>
              <w:rPr>
                <w:rFonts w:hint="eastAsia"/>
              </w:rPr>
              <w:t>1136</w:t>
            </w:r>
          </w:p>
        </w:tc>
        <w:tc>
          <w:tcPr>
            <w:tcW w:w="1109" w:type="dxa"/>
            <w:tcBorders>
              <w:top w:val="nil"/>
              <w:left w:val="nil"/>
              <w:bottom w:val="single" w:color="auto" w:sz="4" w:space="0"/>
              <w:right w:val="single" w:color="auto" w:sz="4" w:space="0"/>
            </w:tcBorders>
            <w:shd w:val="clear" w:color="auto" w:fill="auto"/>
            <w:noWrap/>
            <w:vAlign w:val="bottom"/>
          </w:tcPr>
          <w:p w14:paraId="3068F7B1">
            <w:pPr>
              <w:pStyle w:val="40"/>
            </w:pPr>
            <w:r>
              <w:rPr>
                <w:rFonts w:hint="eastAsia"/>
              </w:rPr>
              <w:t>1860</w:t>
            </w:r>
          </w:p>
        </w:tc>
        <w:tc>
          <w:tcPr>
            <w:tcW w:w="1109" w:type="dxa"/>
            <w:tcBorders>
              <w:top w:val="nil"/>
              <w:left w:val="nil"/>
              <w:bottom w:val="single" w:color="auto" w:sz="4" w:space="0"/>
              <w:right w:val="single" w:color="auto" w:sz="4" w:space="0"/>
            </w:tcBorders>
            <w:shd w:val="clear" w:color="auto" w:fill="auto"/>
            <w:noWrap/>
            <w:vAlign w:val="bottom"/>
          </w:tcPr>
          <w:p w14:paraId="0DF57D97">
            <w:pPr>
              <w:pStyle w:val="40"/>
            </w:pPr>
            <w:r>
              <w:rPr>
                <w:rFonts w:hint="eastAsia"/>
              </w:rPr>
              <w:t>279</w:t>
            </w:r>
          </w:p>
        </w:tc>
        <w:tc>
          <w:tcPr>
            <w:tcW w:w="1109" w:type="dxa"/>
            <w:tcBorders>
              <w:top w:val="nil"/>
              <w:left w:val="nil"/>
              <w:bottom w:val="single" w:color="auto" w:sz="4" w:space="0"/>
              <w:right w:val="single" w:color="auto" w:sz="4" w:space="0"/>
            </w:tcBorders>
            <w:shd w:val="clear" w:color="auto" w:fill="auto"/>
            <w:noWrap/>
            <w:vAlign w:val="bottom"/>
          </w:tcPr>
          <w:p w14:paraId="3ECB80FB">
            <w:pPr>
              <w:pStyle w:val="40"/>
            </w:pPr>
            <w:r>
              <w:rPr>
                <w:rFonts w:hint="eastAsia"/>
              </w:rPr>
              <w:t>240</w:t>
            </w:r>
          </w:p>
        </w:tc>
        <w:tc>
          <w:tcPr>
            <w:tcW w:w="1109" w:type="dxa"/>
            <w:tcBorders>
              <w:top w:val="nil"/>
              <w:left w:val="nil"/>
              <w:bottom w:val="single" w:color="auto" w:sz="4" w:space="0"/>
              <w:right w:val="single" w:color="auto" w:sz="4" w:space="0"/>
            </w:tcBorders>
            <w:shd w:val="clear" w:color="auto" w:fill="auto"/>
            <w:noWrap/>
            <w:vAlign w:val="bottom"/>
          </w:tcPr>
          <w:p w14:paraId="386A2DCB">
            <w:pPr>
              <w:pStyle w:val="40"/>
            </w:pPr>
            <w:r>
              <w:rPr>
                <w:rFonts w:hint="eastAsia"/>
              </w:rPr>
              <w:t>1329</w:t>
            </w:r>
          </w:p>
        </w:tc>
        <w:tc>
          <w:tcPr>
            <w:tcW w:w="1109" w:type="dxa"/>
            <w:tcBorders>
              <w:top w:val="nil"/>
              <w:left w:val="nil"/>
              <w:bottom w:val="single" w:color="auto" w:sz="4" w:space="0"/>
              <w:right w:val="single" w:color="auto" w:sz="4" w:space="0"/>
            </w:tcBorders>
            <w:shd w:val="clear" w:color="auto" w:fill="auto"/>
            <w:noWrap/>
            <w:vAlign w:val="bottom"/>
          </w:tcPr>
          <w:p w14:paraId="42795AB7">
            <w:pPr>
              <w:pStyle w:val="40"/>
            </w:pPr>
            <w:r>
              <w:rPr>
                <w:rFonts w:hint="eastAsia"/>
              </w:rPr>
              <w:t>1706</w:t>
            </w:r>
          </w:p>
        </w:tc>
      </w:tr>
      <w:tr w14:paraId="619C5A11">
        <w:tblPrEx>
          <w:tblCellMar>
            <w:top w:w="0" w:type="dxa"/>
            <w:left w:w="108" w:type="dxa"/>
            <w:bottom w:w="0" w:type="dxa"/>
            <w:right w:w="108" w:type="dxa"/>
          </w:tblCellMar>
        </w:tblPrEx>
        <w:trPr>
          <w:trHeight w:val="285"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7A2EDB70">
            <w:pPr>
              <w:pStyle w:val="40"/>
            </w:pPr>
          </w:p>
        </w:tc>
        <w:tc>
          <w:tcPr>
            <w:tcW w:w="851" w:type="dxa"/>
            <w:tcBorders>
              <w:top w:val="nil"/>
              <w:left w:val="nil"/>
              <w:bottom w:val="single" w:color="auto" w:sz="4" w:space="0"/>
              <w:right w:val="single" w:color="auto" w:sz="4" w:space="0"/>
            </w:tcBorders>
            <w:shd w:val="clear" w:color="auto" w:fill="auto"/>
            <w:noWrap/>
            <w:vAlign w:val="bottom"/>
          </w:tcPr>
          <w:p w14:paraId="339B9121">
            <w:pPr>
              <w:pStyle w:val="40"/>
            </w:pPr>
            <w:r>
              <w:rPr>
                <w:rFonts w:hint="eastAsia"/>
              </w:rPr>
              <w:t>2019</w:t>
            </w:r>
          </w:p>
        </w:tc>
        <w:tc>
          <w:tcPr>
            <w:tcW w:w="1108" w:type="dxa"/>
            <w:tcBorders>
              <w:top w:val="nil"/>
              <w:left w:val="nil"/>
              <w:bottom w:val="single" w:color="auto" w:sz="4" w:space="0"/>
              <w:right w:val="single" w:color="auto" w:sz="4" w:space="0"/>
            </w:tcBorders>
            <w:shd w:val="clear" w:color="auto" w:fill="auto"/>
            <w:noWrap/>
            <w:vAlign w:val="bottom"/>
          </w:tcPr>
          <w:p w14:paraId="389FD1E3">
            <w:pPr>
              <w:pStyle w:val="40"/>
            </w:pPr>
            <w:r>
              <w:rPr>
                <w:rFonts w:hint="eastAsia"/>
              </w:rPr>
              <w:t>3393</w:t>
            </w:r>
          </w:p>
        </w:tc>
        <w:tc>
          <w:tcPr>
            <w:tcW w:w="1109" w:type="dxa"/>
            <w:tcBorders>
              <w:top w:val="nil"/>
              <w:left w:val="nil"/>
              <w:bottom w:val="single" w:color="auto" w:sz="4" w:space="0"/>
              <w:right w:val="single" w:color="auto" w:sz="4" w:space="0"/>
            </w:tcBorders>
            <w:shd w:val="clear" w:color="auto" w:fill="auto"/>
            <w:noWrap/>
            <w:vAlign w:val="bottom"/>
          </w:tcPr>
          <w:p w14:paraId="0D4085B2">
            <w:pPr>
              <w:pStyle w:val="40"/>
            </w:pPr>
            <w:r>
              <w:rPr>
                <w:rFonts w:hint="eastAsia"/>
              </w:rPr>
              <w:t>1173</w:t>
            </w:r>
          </w:p>
        </w:tc>
        <w:tc>
          <w:tcPr>
            <w:tcW w:w="1109" w:type="dxa"/>
            <w:tcBorders>
              <w:top w:val="nil"/>
              <w:left w:val="nil"/>
              <w:bottom w:val="single" w:color="auto" w:sz="4" w:space="0"/>
              <w:right w:val="single" w:color="auto" w:sz="4" w:space="0"/>
            </w:tcBorders>
            <w:shd w:val="clear" w:color="auto" w:fill="auto"/>
            <w:noWrap/>
            <w:vAlign w:val="bottom"/>
          </w:tcPr>
          <w:p w14:paraId="63373F0D">
            <w:pPr>
              <w:pStyle w:val="40"/>
            </w:pPr>
            <w:r>
              <w:rPr>
                <w:rFonts w:hint="eastAsia"/>
              </w:rPr>
              <w:t>1921</w:t>
            </w:r>
          </w:p>
        </w:tc>
        <w:tc>
          <w:tcPr>
            <w:tcW w:w="1109" w:type="dxa"/>
            <w:tcBorders>
              <w:top w:val="nil"/>
              <w:left w:val="nil"/>
              <w:bottom w:val="single" w:color="auto" w:sz="4" w:space="0"/>
              <w:right w:val="single" w:color="auto" w:sz="4" w:space="0"/>
            </w:tcBorders>
            <w:shd w:val="clear" w:color="auto" w:fill="auto"/>
            <w:noWrap/>
            <w:vAlign w:val="bottom"/>
          </w:tcPr>
          <w:p w14:paraId="325F8561">
            <w:pPr>
              <w:pStyle w:val="40"/>
            </w:pPr>
            <w:r>
              <w:rPr>
                <w:rFonts w:hint="eastAsia"/>
              </w:rPr>
              <w:t>299</w:t>
            </w:r>
          </w:p>
        </w:tc>
        <w:tc>
          <w:tcPr>
            <w:tcW w:w="1109" w:type="dxa"/>
            <w:tcBorders>
              <w:top w:val="nil"/>
              <w:left w:val="nil"/>
              <w:bottom w:val="single" w:color="auto" w:sz="4" w:space="0"/>
              <w:right w:val="single" w:color="auto" w:sz="4" w:space="0"/>
            </w:tcBorders>
            <w:shd w:val="clear" w:color="auto" w:fill="auto"/>
            <w:noWrap/>
            <w:vAlign w:val="bottom"/>
          </w:tcPr>
          <w:p w14:paraId="565C501D">
            <w:pPr>
              <w:pStyle w:val="40"/>
            </w:pPr>
            <w:r>
              <w:rPr>
                <w:rFonts w:hint="eastAsia"/>
              </w:rPr>
              <w:t>252</w:t>
            </w:r>
          </w:p>
        </w:tc>
        <w:tc>
          <w:tcPr>
            <w:tcW w:w="1109" w:type="dxa"/>
            <w:tcBorders>
              <w:top w:val="nil"/>
              <w:left w:val="nil"/>
              <w:bottom w:val="single" w:color="auto" w:sz="4" w:space="0"/>
              <w:right w:val="single" w:color="auto" w:sz="4" w:space="0"/>
            </w:tcBorders>
            <w:shd w:val="clear" w:color="auto" w:fill="auto"/>
            <w:noWrap/>
            <w:vAlign w:val="bottom"/>
          </w:tcPr>
          <w:p w14:paraId="5976D976">
            <w:pPr>
              <w:pStyle w:val="40"/>
            </w:pPr>
            <w:r>
              <w:rPr>
                <w:rFonts w:hint="eastAsia"/>
              </w:rPr>
              <w:t>1402</w:t>
            </w:r>
          </w:p>
        </w:tc>
        <w:tc>
          <w:tcPr>
            <w:tcW w:w="1109" w:type="dxa"/>
            <w:tcBorders>
              <w:top w:val="nil"/>
              <w:left w:val="nil"/>
              <w:bottom w:val="single" w:color="auto" w:sz="4" w:space="0"/>
              <w:right w:val="single" w:color="auto" w:sz="4" w:space="0"/>
            </w:tcBorders>
            <w:shd w:val="clear" w:color="auto" w:fill="auto"/>
            <w:noWrap/>
            <w:vAlign w:val="bottom"/>
          </w:tcPr>
          <w:p w14:paraId="7BC1960C">
            <w:pPr>
              <w:pStyle w:val="40"/>
            </w:pPr>
            <w:r>
              <w:rPr>
                <w:rFonts w:hint="eastAsia"/>
              </w:rPr>
              <w:t>1738</w:t>
            </w:r>
          </w:p>
        </w:tc>
      </w:tr>
      <w:tr w14:paraId="04532E2C">
        <w:tblPrEx>
          <w:tblCellMar>
            <w:top w:w="0" w:type="dxa"/>
            <w:left w:w="108" w:type="dxa"/>
            <w:bottom w:w="0" w:type="dxa"/>
            <w:right w:w="108" w:type="dxa"/>
          </w:tblCellMar>
        </w:tblPrEx>
        <w:trPr>
          <w:trHeight w:val="278" w:hRule="atLeast"/>
          <w:jc w:val="center"/>
        </w:trPr>
        <w:tc>
          <w:tcPr>
            <w:tcW w:w="567" w:type="dxa"/>
            <w:vMerge w:val="restart"/>
            <w:tcBorders>
              <w:top w:val="nil"/>
              <w:left w:val="single" w:color="auto" w:sz="4" w:space="0"/>
              <w:bottom w:val="single" w:color="auto" w:sz="4" w:space="0"/>
              <w:right w:val="single" w:color="auto" w:sz="4" w:space="0"/>
            </w:tcBorders>
            <w:shd w:val="clear" w:color="auto" w:fill="auto"/>
            <w:noWrap/>
            <w:vAlign w:val="center"/>
          </w:tcPr>
          <w:p w14:paraId="4D3C8EA3">
            <w:pPr>
              <w:pStyle w:val="40"/>
            </w:pPr>
            <w:r>
              <w:rPr>
                <w:rFonts w:hint="eastAsia"/>
              </w:rPr>
              <w:t>预测数据</w:t>
            </w:r>
          </w:p>
        </w:tc>
        <w:tc>
          <w:tcPr>
            <w:tcW w:w="851" w:type="dxa"/>
            <w:tcBorders>
              <w:top w:val="nil"/>
              <w:left w:val="nil"/>
              <w:bottom w:val="single" w:color="auto" w:sz="4" w:space="0"/>
              <w:right w:val="single" w:color="auto" w:sz="4" w:space="0"/>
            </w:tcBorders>
            <w:shd w:val="clear" w:color="000000" w:fill="DDEBF7"/>
            <w:noWrap/>
            <w:vAlign w:val="bottom"/>
          </w:tcPr>
          <w:p w14:paraId="15CF2899">
            <w:pPr>
              <w:pStyle w:val="40"/>
            </w:pPr>
            <w:r>
              <w:rPr>
                <w:rFonts w:hint="eastAsia"/>
              </w:rPr>
              <w:t>2020</w:t>
            </w:r>
          </w:p>
        </w:tc>
        <w:tc>
          <w:tcPr>
            <w:tcW w:w="1108" w:type="dxa"/>
            <w:tcBorders>
              <w:top w:val="nil"/>
              <w:left w:val="nil"/>
              <w:bottom w:val="single" w:color="auto" w:sz="4" w:space="0"/>
              <w:right w:val="single" w:color="auto" w:sz="4" w:space="0"/>
            </w:tcBorders>
            <w:shd w:val="clear" w:color="000000" w:fill="DDEBF7"/>
            <w:noWrap/>
            <w:vAlign w:val="bottom"/>
          </w:tcPr>
          <w:p w14:paraId="66F03C46">
            <w:pPr>
              <w:pStyle w:val="40"/>
            </w:pPr>
            <w:r>
              <w:rPr>
                <w:rFonts w:hint="eastAsia"/>
              </w:rPr>
              <w:t>3488</w:t>
            </w:r>
          </w:p>
        </w:tc>
        <w:tc>
          <w:tcPr>
            <w:tcW w:w="1109" w:type="dxa"/>
            <w:tcBorders>
              <w:top w:val="nil"/>
              <w:left w:val="nil"/>
              <w:bottom w:val="single" w:color="auto" w:sz="4" w:space="0"/>
              <w:right w:val="single" w:color="auto" w:sz="4" w:space="0"/>
            </w:tcBorders>
            <w:shd w:val="clear" w:color="000000" w:fill="DDEBF7"/>
            <w:noWrap/>
            <w:vAlign w:val="bottom"/>
          </w:tcPr>
          <w:p w14:paraId="7F15E2E2">
            <w:pPr>
              <w:pStyle w:val="40"/>
            </w:pPr>
            <w:r>
              <w:rPr>
                <w:rFonts w:hint="eastAsia"/>
              </w:rPr>
              <w:t>1241</w:t>
            </w:r>
          </w:p>
        </w:tc>
        <w:tc>
          <w:tcPr>
            <w:tcW w:w="1109" w:type="dxa"/>
            <w:tcBorders>
              <w:top w:val="nil"/>
              <w:left w:val="nil"/>
              <w:bottom w:val="single" w:color="auto" w:sz="4" w:space="0"/>
              <w:right w:val="single" w:color="auto" w:sz="4" w:space="0"/>
            </w:tcBorders>
            <w:shd w:val="clear" w:color="000000" w:fill="DDEBF7"/>
            <w:noWrap/>
            <w:vAlign w:val="bottom"/>
          </w:tcPr>
          <w:p w14:paraId="70681DA2">
            <w:pPr>
              <w:pStyle w:val="40"/>
            </w:pPr>
            <w:r>
              <w:rPr>
                <w:rFonts w:hint="eastAsia"/>
              </w:rPr>
              <w:t>1947</w:t>
            </w:r>
          </w:p>
        </w:tc>
        <w:tc>
          <w:tcPr>
            <w:tcW w:w="1109" w:type="dxa"/>
            <w:tcBorders>
              <w:top w:val="nil"/>
              <w:left w:val="nil"/>
              <w:bottom w:val="single" w:color="auto" w:sz="4" w:space="0"/>
              <w:right w:val="single" w:color="auto" w:sz="4" w:space="0"/>
            </w:tcBorders>
            <w:shd w:val="clear" w:color="000000" w:fill="DDEBF7"/>
            <w:noWrap/>
            <w:vAlign w:val="bottom"/>
          </w:tcPr>
          <w:p w14:paraId="058FFDC9">
            <w:pPr>
              <w:pStyle w:val="40"/>
            </w:pPr>
            <w:r>
              <w:rPr>
                <w:rFonts w:hint="eastAsia"/>
              </w:rPr>
              <w:t>300</w:t>
            </w:r>
          </w:p>
        </w:tc>
        <w:tc>
          <w:tcPr>
            <w:tcW w:w="1109" w:type="dxa"/>
            <w:tcBorders>
              <w:top w:val="nil"/>
              <w:left w:val="nil"/>
              <w:bottom w:val="single" w:color="auto" w:sz="4" w:space="0"/>
              <w:right w:val="single" w:color="auto" w:sz="4" w:space="0"/>
            </w:tcBorders>
            <w:shd w:val="clear" w:color="000000" w:fill="DDEBF7"/>
            <w:noWrap/>
            <w:vAlign w:val="bottom"/>
          </w:tcPr>
          <w:p w14:paraId="5B6B6D92">
            <w:pPr>
              <w:pStyle w:val="40"/>
            </w:pPr>
            <w:r>
              <w:rPr>
                <w:rFonts w:hint="eastAsia"/>
              </w:rPr>
              <w:t>192</w:t>
            </w:r>
          </w:p>
        </w:tc>
        <w:tc>
          <w:tcPr>
            <w:tcW w:w="1109" w:type="dxa"/>
            <w:tcBorders>
              <w:top w:val="nil"/>
              <w:left w:val="nil"/>
              <w:bottom w:val="single" w:color="auto" w:sz="4" w:space="0"/>
              <w:right w:val="single" w:color="auto" w:sz="4" w:space="0"/>
            </w:tcBorders>
            <w:shd w:val="clear" w:color="000000" w:fill="DDEBF7"/>
            <w:noWrap/>
            <w:vAlign w:val="bottom"/>
          </w:tcPr>
          <w:p w14:paraId="7DB1FAB2">
            <w:pPr>
              <w:pStyle w:val="40"/>
            </w:pPr>
            <w:r>
              <w:rPr>
                <w:rFonts w:hint="eastAsia"/>
              </w:rPr>
              <w:t>1458</w:t>
            </w:r>
          </w:p>
        </w:tc>
        <w:tc>
          <w:tcPr>
            <w:tcW w:w="1109" w:type="dxa"/>
            <w:tcBorders>
              <w:top w:val="nil"/>
              <w:left w:val="nil"/>
              <w:bottom w:val="single" w:color="auto" w:sz="4" w:space="0"/>
              <w:right w:val="single" w:color="auto" w:sz="4" w:space="0"/>
            </w:tcBorders>
            <w:shd w:val="clear" w:color="000000" w:fill="DDEBF7"/>
            <w:noWrap/>
            <w:vAlign w:val="bottom"/>
          </w:tcPr>
          <w:p w14:paraId="2C072AC2">
            <w:pPr>
              <w:pStyle w:val="40"/>
            </w:pPr>
            <w:r>
              <w:rPr>
                <w:rFonts w:hint="eastAsia"/>
              </w:rPr>
              <w:t>1838</w:t>
            </w:r>
          </w:p>
        </w:tc>
      </w:tr>
      <w:tr w14:paraId="5C7C7811">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5C94CB05">
            <w:pPr>
              <w:pStyle w:val="40"/>
            </w:pPr>
          </w:p>
        </w:tc>
        <w:tc>
          <w:tcPr>
            <w:tcW w:w="851" w:type="dxa"/>
            <w:tcBorders>
              <w:top w:val="nil"/>
              <w:left w:val="nil"/>
              <w:bottom w:val="single" w:color="auto" w:sz="4" w:space="0"/>
              <w:right w:val="single" w:color="auto" w:sz="4" w:space="0"/>
            </w:tcBorders>
            <w:shd w:val="clear" w:color="000000" w:fill="DDEBF7"/>
            <w:noWrap/>
            <w:vAlign w:val="bottom"/>
          </w:tcPr>
          <w:p w14:paraId="2EFD53A3">
            <w:pPr>
              <w:pStyle w:val="40"/>
            </w:pPr>
            <w:r>
              <w:rPr>
                <w:rFonts w:hint="eastAsia"/>
              </w:rPr>
              <w:t>2021</w:t>
            </w:r>
          </w:p>
        </w:tc>
        <w:tc>
          <w:tcPr>
            <w:tcW w:w="1108" w:type="dxa"/>
            <w:tcBorders>
              <w:top w:val="nil"/>
              <w:left w:val="nil"/>
              <w:bottom w:val="single" w:color="auto" w:sz="4" w:space="0"/>
              <w:right w:val="single" w:color="auto" w:sz="4" w:space="0"/>
            </w:tcBorders>
            <w:shd w:val="clear" w:color="000000" w:fill="DDEBF7"/>
            <w:noWrap/>
            <w:vAlign w:val="bottom"/>
          </w:tcPr>
          <w:p w14:paraId="0DB632AB">
            <w:pPr>
              <w:pStyle w:val="40"/>
            </w:pPr>
            <w:r>
              <w:rPr>
                <w:rFonts w:hint="eastAsia"/>
              </w:rPr>
              <w:t>3644</w:t>
            </w:r>
          </w:p>
        </w:tc>
        <w:tc>
          <w:tcPr>
            <w:tcW w:w="1109" w:type="dxa"/>
            <w:tcBorders>
              <w:top w:val="nil"/>
              <w:left w:val="nil"/>
              <w:bottom w:val="single" w:color="auto" w:sz="4" w:space="0"/>
              <w:right w:val="single" w:color="auto" w:sz="4" w:space="0"/>
            </w:tcBorders>
            <w:shd w:val="clear" w:color="000000" w:fill="DDEBF7"/>
            <w:noWrap/>
            <w:vAlign w:val="bottom"/>
          </w:tcPr>
          <w:p w14:paraId="12A445AA">
            <w:pPr>
              <w:pStyle w:val="40"/>
            </w:pPr>
            <w:r>
              <w:rPr>
                <w:rFonts w:hint="eastAsia"/>
              </w:rPr>
              <w:t>1326</w:t>
            </w:r>
          </w:p>
        </w:tc>
        <w:tc>
          <w:tcPr>
            <w:tcW w:w="1109" w:type="dxa"/>
            <w:tcBorders>
              <w:top w:val="nil"/>
              <w:left w:val="nil"/>
              <w:bottom w:val="single" w:color="auto" w:sz="4" w:space="0"/>
              <w:right w:val="single" w:color="auto" w:sz="4" w:space="0"/>
            </w:tcBorders>
            <w:shd w:val="clear" w:color="000000" w:fill="DDEBF7"/>
            <w:noWrap/>
            <w:vAlign w:val="bottom"/>
          </w:tcPr>
          <w:p w14:paraId="2195299C">
            <w:pPr>
              <w:pStyle w:val="40"/>
            </w:pPr>
            <w:r>
              <w:rPr>
                <w:rFonts w:hint="eastAsia"/>
              </w:rPr>
              <w:t>2007</w:t>
            </w:r>
          </w:p>
        </w:tc>
        <w:tc>
          <w:tcPr>
            <w:tcW w:w="1109" w:type="dxa"/>
            <w:tcBorders>
              <w:top w:val="nil"/>
              <w:left w:val="nil"/>
              <w:bottom w:val="single" w:color="auto" w:sz="4" w:space="0"/>
              <w:right w:val="single" w:color="auto" w:sz="4" w:space="0"/>
            </w:tcBorders>
            <w:shd w:val="clear" w:color="000000" w:fill="DDEBF7"/>
            <w:noWrap/>
            <w:vAlign w:val="bottom"/>
          </w:tcPr>
          <w:p w14:paraId="7650D70F">
            <w:pPr>
              <w:pStyle w:val="40"/>
            </w:pPr>
            <w:r>
              <w:rPr>
                <w:rFonts w:hint="eastAsia"/>
              </w:rPr>
              <w:t>311</w:t>
            </w:r>
          </w:p>
        </w:tc>
        <w:tc>
          <w:tcPr>
            <w:tcW w:w="1109" w:type="dxa"/>
            <w:tcBorders>
              <w:top w:val="nil"/>
              <w:left w:val="nil"/>
              <w:bottom w:val="single" w:color="auto" w:sz="4" w:space="0"/>
              <w:right w:val="single" w:color="auto" w:sz="4" w:space="0"/>
            </w:tcBorders>
            <w:shd w:val="clear" w:color="000000" w:fill="DDEBF7"/>
            <w:noWrap/>
            <w:vAlign w:val="bottom"/>
          </w:tcPr>
          <w:p w14:paraId="137B137C">
            <w:pPr>
              <w:pStyle w:val="40"/>
            </w:pPr>
            <w:r>
              <w:rPr>
                <w:rFonts w:hint="eastAsia"/>
              </w:rPr>
              <w:t>181</w:t>
            </w:r>
          </w:p>
        </w:tc>
        <w:tc>
          <w:tcPr>
            <w:tcW w:w="1109" w:type="dxa"/>
            <w:tcBorders>
              <w:top w:val="nil"/>
              <w:left w:val="nil"/>
              <w:bottom w:val="single" w:color="auto" w:sz="4" w:space="0"/>
              <w:right w:val="single" w:color="auto" w:sz="4" w:space="0"/>
            </w:tcBorders>
            <w:shd w:val="clear" w:color="000000" w:fill="DDEBF7"/>
            <w:noWrap/>
            <w:vAlign w:val="bottom"/>
          </w:tcPr>
          <w:p w14:paraId="6A9EC398">
            <w:pPr>
              <w:pStyle w:val="40"/>
            </w:pPr>
            <w:r>
              <w:rPr>
                <w:rFonts w:hint="eastAsia"/>
              </w:rPr>
              <w:t>1529</w:t>
            </w:r>
          </w:p>
        </w:tc>
        <w:tc>
          <w:tcPr>
            <w:tcW w:w="1109" w:type="dxa"/>
            <w:tcBorders>
              <w:top w:val="nil"/>
              <w:left w:val="nil"/>
              <w:bottom w:val="single" w:color="auto" w:sz="4" w:space="0"/>
              <w:right w:val="single" w:color="auto" w:sz="4" w:space="0"/>
            </w:tcBorders>
            <w:shd w:val="clear" w:color="000000" w:fill="DDEBF7"/>
            <w:noWrap/>
            <w:vAlign w:val="bottom"/>
          </w:tcPr>
          <w:p w14:paraId="4B506062">
            <w:pPr>
              <w:pStyle w:val="40"/>
            </w:pPr>
            <w:r>
              <w:rPr>
                <w:rFonts w:hint="eastAsia"/>
              </w:rPr>
              <w:t>1934</w:t>
            </w:r>
          </w:p>
        </w:tc>
      </w:tr>
      <w:tr w14:paraId="443F0154">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51D3C95D">
            <w:pPr>
              <w:pStyle w:val="40"/>
            </w:pPr>
          </w:p>
        </w:tc>
        <w:tc>
          <w:tcPr>
            <w:tcW w:w="851" w:type="dxa"/>
            <w:tcBorders>
              <w:top w:val="nil"/>
              <w:left w:val="nil"/>
              <w:bottom w:val="single" w:color="auto" w:sz="4" w:space="0"/>
              <w:right w:val="single" w:color="auto" w:sz="4" w:space="0"/>
            </w:tcBorders>
            <w:shd w:val="clear" w:color="000000" w:fill="DDEBF7"/>
            <w:noWrap/>
            <w:vAlign w:val="bottom"/>
          </w:tcPr>
          <w:p w14:paraId="0D263811">
            <w:pPr>
              <w:pStyle w:val="40"/>
            </w:pPr>
            <w:r>
              <w:rPr>
                <w:rFonts w:hint="eastAsia"/>
              </w:rPr>
              <w:t>2022</w:t>
            </w:r>
          </w:p>
        </w:tc>
        <w:tc>
          <w:tcPr>
            <w:tcW w:w="1108" w:type="dxa"/>
            <w:tcBorders>
              <w:top w:val="nil"/>
              <w:left w:val="nil"/>
              <w:bottom w:val="single" w:color="auto" w:sz="4" w:space="0"/>
              <w:right w:val="single" w:color="auto" w:sz="4" w:space="0"/>
            </w:tcBorders>
            <w:shd w:val="clear" w:color="000000" w:fill="DDEBF7"/>
            <w:noWrap/>
            <w:vAlign w:val="bottom"/>
          </w:tcPr>
          <w:p w14:paraId="76671CE1">
            <w:pPr>
              <w:pStyle w:val="40"/>
            </w:pPr>
            <w:r>
              <w:rPr>
                <w:rFonts w:hint="eastAsia"/>
              </w:rPr>
              <w:t>3788</w:t>
            </w:r>
          </w:p>
        </w:tc>
        <w:tc>
          <w:tcPr>
            <w:tcW w:w="1109" w:type="dxa"/>
            <w:tcBorders>
              <w:top w:val="nil"/>
              <w:left w:val="nil"/>
              <w:bottom w:val="single" w:color="auto" w:sz="4" w:space="0"/>
              <w:right w:val="single" w:color="auto" w:sz="4" w:space="0"/>
            </w:tcBorders>
            <w:shd w:val="clear" w:color="000000" w:fill="DDEBF7"/>
            <w:noWrap/>
            <w:vAlign w:val="bottom"/>
          </w:tcPr>
          <w:p w14:paraId="2BEA6D7C">
            <w:pPr>
              <w:pStyle w:val="40"/>
            </w:pPr>
            <w:r>
              <w:rPr>
                <w:rFonts w:hint="eastAsia"/>
              </w:rPr>
              <w:t>1404</w:t>
            </w:r>
          </w:p>
        </w:tc>
        <w:tc>
          <w:tcPr>
            <w:tcW w:w="1109" w:type="dxa"/>
            <w:tcBorders>
              <w:top w:val="nil"/>
              <w:left w:val="nil"/>
              <w:bottom w:val="single" w:color="auto" w:sz="4" w:space="0"/>
              <w:right w:val="single" w:color="auto" w:sz="4" w:space="0"/>
            </w:tcBorders>
            <w:shd w:val="clear" w:color="000000" w:fill="DDEBF7"/>
            <w:noWrap/>
            <w:vAlign w:val="bottom"/>
          </w:tcPr>
          <w:p w14:paraId="5F02B16F">
            <w:pPr>
              <w:pStyle w:val="40"/>
            </w:pPr>
            <w:r>
              <w:rPr>
                <w:rFonts w:hint="eastAsia"/>
              </w:rPr>
              <w:t>2062</w:t>
            </w:r>
          </w:p>
        </w:tc>
        <w:tc>
          <w:tcPr>
            <w:tcW w:w="1109" w:type="dxa"/>
            <w:tcBorders>
              <w:top w:val="nil"/>
              <w:left w:val="nil"/>
              <w:bottom w:val="single" w:color="auto" w:sz="4" w:space="0"/>
              <w:right w:val="single" w:color="auto" w:sz="4" w:space="0"/>
            </w:tcBorders>
            <w:shd w:val="clear" w:color="000000" w:fill="DDEBF7"/>
            <w:noWrap/>
            <w:vAlign w:val="bottom"/>
          </w:tcPr>
          <w:p w14:paraId="15818077">
            <w:pPr>
              <w:pStyle w:val="40"/>
            </w:pPr>
            <w:r>
              <w:rPr>
                <w:rFonts w:hint="eastAsia"/>
              </w:rPr>
              <w:t>322</w:t>
            </w:r>
          </w:p>
        </w:tc>
        <w:tc>
          <w:tcPr>
            <w:tcW w:w="1109" w:type="dxa"/>
            <w:tcBorders>
              <w:top w:val="nil"/>
              <w:left w:val="nil"/>
              <w:bottom w:val="single" w:color="auto" w:sz="4" w:space="0"/>
              <w:right w:val="single" w:color="auto" w:sz="4" w:space="0"/>
            </w:tcBorders>
            <w:shd w:val="clear" w:color="000000" w:fill="DDEBF7"/>
            <w:noWrap/>
            <w:vAlign w:val="bottom"/>
          </w:tcPr>
          <w:p w14:paraId="27CDD419">
            <w:pPr>
              <w:pStyle w:val="40"/>
            </w:pPr>
            <w:r>
              <w:rPr>
                <w:rFonts w:hint="eastAsia"/>
              </w:rPr>
              <w:t>158</w:t>
            </w:r>
          </w:p>
        </w:tc>
        <w:tc>
          <w:tcPr>
            <w:tcW w:w="1109" w:type="dxa"/>
            <w:tcBorders>
              <w:top w:val="nil"/>
              <w:left w:val="nil"/>
              <w:bottom w:val="single" w:color="auto" w:sz="4" w:space="0"/>
              <w:right w:val="single" w:color="auto" w:sz="4" w:space="0"/>
            </w:tcBorders>
            <w:shd w:val="clear" w:color="000000" w:fill="DDEBF7"/>
            <w:noWrap/>
            <w:vAlign w:val="bottom"/>
          </w:tcPr>
          <w:p w14:paraId="44054648">
            <w:pPr>
              <w:pStyle w:val="40"/>
            </w:pPr>
            <w:r>
              <w:rPr>
                <w:rFonts w:hint="eastAsia"/>
              </w:rPr>
              <w:t>1600</w:t>
            </w:r>
          </w:p>
        </w:tc>
        <w:tc>
          <w:tcPr>
            <w:tcW w:w="1109" w:type="dxa"/>
            <w:tcBorders>
              <w:top w:val="nil"/>
              <w:left w:val="nil"/>
              <w:bottom w:val="single" w:color="auto" w:sz="4" w:space="0"/>
              <w:right w:val="single" w:color="auto" w:sz="4" w:space="0"/>
            </w:tcBorders>
            <w:shd w:val="clear" w:color="000000" w:fill="DDEBF7"/>
            <w:noWrap/>
            <w:vAlign w:val="bottom"/>
          </w:tcPr>
          <w:p w14:paraId="4C457E23">
            <w:pPr>
              <w:pStyle w:val="40"/>
            </w:pPr>
            <w:r>
              <w:rPr>
                <w:rFonts w:hint="eastAsia"/>
              </w:rPr>
              <w:t>2030</w:t>
            </w:r>
          </w:p>
        </w:tc>
      </w:tr>
      <w:tr w14:paraId="7B174C8C">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26581829">
            <w:pPr>
              <w:pStyle w:val="40"/>
            </w:pPr>
          </w:p>
        </w:tc>
        <w:tc>
          <w:tcPr>
            <w:tcW w:w="851" w:type="dxa"/>
            <w:tcBorders>
              <w:top w:val="nil"/>
              <w:left w:val="nil"/>
              <w:bottom w:val="single" w:color="auto" w:sz="4" w:space="0"/>
              <w:right w:val="single" w:color="auto" w:sz="4" w:space="0"/>
            </w:tcBorders>
            <w:shd w:val="clear" w:color="000000" w:fill="DDEBF7"/>
            <w:noWrap/>
            <w:vAlign w:val="bottom"/>
          </w:tcPr>
          <w:p w14:paraId="3AE739DB">
            <w:pPr>
              <w:pStyle w:val="40"/>
            </w:pPr>
            <w:r>
              <w:rPr>
                <w:rFonts w:hint="eastAsia"/>
              </w:rPr>
              <w:t>2023</w:t>
            </w:r>
          </w:p>
        </w:tc>
        <w:tc>
          <w:tcPr>
            <w:tcW w:w="1108" w:type="dxa"/>
            <w:tcBorders>
              <w:top w:val="nil"/>
              <w:left w:val="nil"/>
              <w:bottom w:val="single" w:color="auto" w:sz="4" w:space="0"/>
              <w:right w:val="single" w:color="auto" w:sz="4" w:space="0"/>
            </w:tcBorders>
            <w:shd w:val="clear" w:color="000000" w:fill="DDEBF7"/>
            <w:noWrap/>
            <w:vAlign w:val="bottom"/>
          </w:tcPr>
          <w:p w14:paraId="26A4A501">
            <w:pPr>
              <w:pStyle w:val="40"/>
            </w:pPr>
            <w:r>
              <w:rPr>
                <w:rFonts w:hint="eastAsia"/>
              </w:rPr>
              <w:t>3915</w:t>
            </w:r>
          </w:p>
        </w:tc>
        <w:tc>
          <w:tcPr>
            <w:tcW w:w="1109" w:type="dxa"/>
            <w:tcBorders>
              <w:top w:val="nil"/>
              <w:left w:val="nil"/>
              <w:bottom w:val="single" w:color="auto" w:sz="4" w:space="0"/>
              <w:right w:val="single" w:color="auto" w:sz="4" w:space="0"/>
            </w:tcBorders>
            <w:shd w:val="clear" w:color="000000" w:fill="DDEBF7"/>
            <w:noWrap/>
            <w:vAlign w:val="bottom"/>
          </w:tcPr>
          <w:p w14:paraId="1F3EF946">
            <w:pPr>
              <w:pStyle w:val="40"/>
            </w:pPr>
            <w:r>
              <w:rPr>
                <w:rFonts w:hint="eastAsia"/>
              </w:rPr>
              <w:t>1473</w:t>
            </w:r>
          </w:p>
        </w:tc>
        <w:tc>
          <w:tcPr>
            <w:tcW w:w="1109" w:type="dxa"/>
            <w:tcBorders>
              <w:top w:val="nil"/>
              <w:left w:val="nil"/>
              <w:bottom w:val="single" w:color="auto" w:sz="4" w:space="0"/>
              <w:right w:val="single" w:color="auto" w:sz="4" w:space="0"/>
            </w:tcBorders>
            <w:shd w:val="clear" w:color="000000" w:fill="DDEBF7"/>
            <w:noWrap/>
            <w:vAlign w:val="bottom"/>
          </w:tcPr>
          <w:p w14:paraId="6D1A8555">
            <w:pPr>
              <w:pStyle w:val="40"/>
            </w:pPr>
            <w:r>
              <w:rPr>
                <w:rFonts w:hint="eastAsia"/>
              </w:rPr>
              <w:t>2110</w:t>
            </w:r>
          </w:p>
        </w:tc>
        <w:tc>
          <w:tcPr>
            <w:tcW w:w="1109" w:type="dxa"/>
            <w:tcBorders>
              <w:top w:val="nil"/>
              <w:left w:val="nil"/>
              <w:bottom w:val="single" w:color="auto" w:sz="4" w:space="0"/>
              <w:right w:val="single" w:color="auto" w:sz="4" w:space="0"/>
            </w:tcBorders>
            <w:shd w:val="clear" w:color="000000" w:fill="DDEBF7"/>
            <w:noWrap/>
            <w:vAlign w:val="bottom"/>
          </w:tcPr>
          <w:p w14:paraId="24469163">
            <w:pPr>
              <w:pStyle w:val="40"/>
            </w:pPr>
            <w:r>
              <w:rPr>
                <w:rFonts w:hint="eastAsia"/>
              </w:rPr>
              <w:t>333</w:t>
            </w:r>
          </w:p>
        </w:tc>
        <w:tc>
          <w:tcPr>
            <w:tcW w:w="1109" w:type="dxa"/>
            <w:tcBorders>
              <w:top w:val="nil"/>
              <w:left w:val="nil"/>
              <w:bottom w:val="single" w:color="auto" w:sz="4" w:space="0"/>
              <w:right w:val="single" w:color="auto" w:sz="4" w:space="0"/>
            </w:tcBorders>
            <w:shd w:val="clear" w:color="000000" w:fill="DDEBF7"/>
            <w:noWrap/>
            <w:vAlign w:val="bottom"/>
          </w:tcPr>
          <w:p w14:paraId="283DF560">
            <w:pPr>
              <w:pStyle w:val="40"/>
            </w:pPr>
            <w:r>
              <w:rPr>
                <w:rFonts w:hint="eastAsia"/>
              </w:rPr>
              <w:t>118</w:t>
            </w:r>
          </w:p>
        </w:tc>
        <w:tc>
          <w:tcPr>
            <w:tcW w:w="1109" w:type="dxa"/>
            <w:tcBorders>
              <w:top w:val="nil"/>
              <w:left w:val="nil"/>
              <w:bottom w:val="single" w:color="auto" w:sz="4" w:space="0"/>
              <w:right w:val="single" w:color="auto" w:sz="4" w:space="0"/>
            </w:tcBorders>
            <w:shd w:val="clear" w:color="000000" w:fill="DDEBF7"/>
            <w:noWrap/>
            <w:vAlign w:val="bottom"/>
          </w:tcPr>
          <w:p w14:paraId="76804D20">
            <w:pPr>
              <w:pStyle w:val="40"/>
            </w:pPr>
            <w:r>
              <w:rPr>
                <w:rFonts w:hint="eastAsia"/>
              </w:rPr>
              <w:t>1671</w:t>
            </w:r>
          </w:p>
        </w:tc>
        <w:tc>
          <w:tcPr>
            <w:tcW w:w="1109" w:type="dxa"/>
            <w:tcBorders>
              <w:top w:val="nil"/>
              <w:left w:val="nil"/>
              <w:bottom w:val="single" w:color="auto" w:sz="4" w:space="0"/>
              <w:right w:val="single" w:color="auto" w:sz="4" w:space="0"/>
            </w:tcBorders>
            <w:shd w:val="clear" w:color="000000" w:fill="DDEBF7"/>
            <w:noWrap/>
            <w:vAlign w:val="bottom"/>
          </w:tcPr>
          <w:p w14:paraId="439E861B">
            <w:pPr>
              <w:pStyle w:val="40"/>
            </w:pPr>
            <w:r>
              <w:rPr>
                <w:rFonts w:hint="eastAsia"/>
              </w:rPr>
              <w:t>2126</w:t>
            </w:r>
          </w:p>
        </w:tc>
      </w:tr>
      <w:tr w14:paraId="11A31778">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40786776">
            <w:pPr>
              <w:pStyle w:val="40"/>
            </w:pPr>
          </w:p>
        </w:tc>
        <w:tc>
          <w:tcPr>
            <w:tcW w:w="851" w:type="dxa"/>
            <w:tcBorders>
              <w:top w:val="nil"/>
              <w:left w:val="nil"/>
              <w:bottom w:val="single" w:color="auto" w:sz="4" w:space="0"/>
              <w:right w:val="single" w:color="auto" w:sz="4" w:space="0"/>
            </w:tcBorders>
            <w:shd w:val="clear" w:color="000000" w:fill="DDEBF7"/>
            <w:noWrap/>
            <w:vAlign w:val="bottom"/>
          </w:tcPr>
          <w:p w14:paraId="64767DCC">
            <w:pPr>
              <w:pStyle w:val="40"/>
            </w:pPr>
            <w:r>
              <w:rPr>
                <w:rFonts w:hint="eastAsia"/>
              </w:rPr>
              <w:t>2024</w:t>
            </w:r>
          </w:p>
        </w:tc>
        <w:tc>
          <w:tcPr>
            <w:tcW w:w="1108" w:type="dxa"/>
            <w:tcBorders>
              <w:top w:val="nil"/>
              <w:left w:val="nil"/>
              <w:bottom w:val="single" w:color="auto" w:sz="4" w:space="0"/>
              <w:right w:val="single" w:color="auto" w:sz="4" w:space="0"/>
            </w:tcBorders>
            <w:shd w:val="clear" w:color="000000" w:fill="DDEBF7"/>
            <w:noWrap/>
            <w:vAlign w:val="bottom"/>
          </w:tcPr>
          <w:p w14:paraId="7BA503EC">
            <w:pPr>
              <w:pStyle w:val="40"/>
            </w:pPr>
            <w:r>
              <w:rPr>
                <w:rFonts w:hint="eastAsia"/>
              </w:rPr>
              <w:t>4032</w:t>
            </w:r>
          </w:p>
        </w:tc>
        <w:tc>
          <w:tcPr>
            <w:tcW w:w="1109" w:type="dxa"/>
            <w:tcBorders>
              <w:top w:val="nil"/>
              <w:left w:val="nil"/>
              <w:bottom w:val="single" w:color="auto" w:sz="4" w:space="0"/>
              <w:right w:val="single" w:color="auto" w:sz="4" w:space="0"/>
            </w:tcBorders>
            <w:shd w:val="clear" w:color="000000" w:fill="DDEBF7"/>
            <w:noWrap/>
            <w:vAlign w:val="bottom"/>
          </w:tcPr>
          <w:p w14:paraId="40F62E3E">
            <w:pPr>
              <w:pStyle w:val="40"/>
            </w:pPr>
            <w:r>
              <w:rPr>
                <w:rFonts w:hint="eastAsia"/>
              </w:rPr>
              <w:t>1534</w:t>
            </w:r>
          </w:p>
        </w:tc>
        <w:tc>
          <w:tcPr>
            <w:tcW w:w="1109" w:type="dxa"/>
            <w:tcBorders>
              <w:top w:val="nil"/>
              <w:left w:val="nil"/>
              <w:bottom w:val="single" w:color="auto" w:sz="4" w:space="0"/>
              <w:right w:val="single" w:color="auto" w:sz="4" w:space="0"/>
            </w:tcBorders>
            <w:shd w:val="clear" w:color="000000" w:fill="DDEBF7"/>
            <w:noWrap/>
            <w:vAlign w:val="bottom"/>
          </w:tcPr>
          <w:p w14:paraId="683B03FB">
            <w:pPr>
              <w:pStyle w:val="40"/>
            </w:pPr>
            <w:r>
              <w:rPr>
                <w:rFonts w:hint="eastAsia"/>
              </w:rPr>
              <w:t>2155</w:t>
            </w:r>
          </w:p>
        </w:tc>
        <w:tc>
          <w:tcPr>
            <w:tcW w:w="1109" w:type="dxa"/>
            <w:tcBorders>
              <w:top w:val="nil"/>
              <w:left w:val="nil"/>
              <w:bottom w:val="single" w:color="auto" w:sz="4" w:space="0"/>
              <w:right w:val="single" w:color="auto" w:sz="4" w:space="0"/>
            </w:tcBorders>
            <w:shd w:val="clear" w:color="000000" w:fill="DDEBF7"/>
            <w:noWrap/>
            <w:vAlign w:val="bottom"/>
          </w:tcPr>
          <w:p w14:paraId="477866A1">
            <w:pPr>
              <w:pStyle w:val="40"/>
            </w:pPr>
            <w:r>
              <w:rPr>
                <w:rFonts w:hint="eastAsia"/>
              </w:rPr>
              <w:t>343</w:t>
            </w:r>
          </w:p>
        </w:tc>
        <w:tc>
          <w:tcPr>
            <w:tcW w:w="1109" w:type="dxa"/>
            <w:tcBorders>
              <w:top w:val="nil"/>
              <w:left w:val="nil"/>
              <w:bottom w:val="single" w:color="auto" w:sz="4" w:space="0"/>
              <w:right w:val="single" w:color="auto" w:sz="4" w:space="0"/>
            </w:tcBorders>
            <w:shd w:val="clear" w:color="000000" w:fill="DDEBF7"/>
            <w:noWrap/>
            <w:vAlign w:val="bottom"/>
          </w:tcPr>
          <w:p w14:paraId="6CD601C3">
            <w:pPr>
              <w:pStyle w:val="40"/>
            </w:pPr>
            <w:r>
              <w:rPr>
                <w:rFonts w:hint="eastAsia"/>
              </w:rPr>
              <w:t>68</w:t>
            </w:r>
          </w:p>
        </w:tc>
        <w:tc>
          <w:tcPr>
            <w:tcW w:w="1109" w:type="dxa"/>
            <w:tcBorders>
              <w:top w:val="nil"/>
              <w:left w:val="nil"/>
              <w:bottom w:val="single" w:color="auto" w:sz="4" w:space="0"/>
              <w:right w:val="single" w:color="auto" w:sz="4" w:space="0"/>
            </w:tcBorders>
            <w:shd w:val="clear" w:color="000000" w:fill="DDEBF7"/>
            <w:noWrap/>
            <w:vAlign w:val="bottom"/>
          </w:tcPr>
          <w:p w14:paraId="616867C5">
            <w:pPr>
              <w:pStyle w:val="40"/>
            </w:pPr>
            <w:r>
              <w:rPr>
                <w:rFonts w:hint="eastAsia"/>
              </w:rPr>
              <w:t>1742</w:t>
            </w:r>
          </w:p>
        </w:tc>
        <w:tc>
          <w:tcPr>
            <w:tcW w:w="1109" w:type="dxa"/>
            <w:tcBorders>
              <w:top w:val="nil"/>
              <w:left w:val="nil"/>
              <w:bottom w:val="single" w:color="auto" w:sz="4" w:space="0"/>
              <w:right w:val="single" w:color="auto" w:sz="4" w:space="0"/>
            </w:tcBorders>
            <w:shd w:val="clear" w:color="000000" w:fill="DDEBF7"/>
            <w:noWrap/>
            <w:vAlign w:val="bottom"/>
          </w:tcPr>
          <w:p w14:paraId="7655B154">
            <w:pPr>
              <w:pStyle w:val="40"/>
            </w:pPr>
            <w:r>
              <w:rPr>
                <w:rFonts w:hint="eastAsia"/>
              </w:rPr>
              <w:t>2222</w:t>
            </w:r>
          </w:p>
        </w:tc>
      </w:tr>
      <w:tr w14:paraId="00675D27">
        <w:tblPrEx>
          <w:tblCellMar>
            <w:top w:w="0" w:type="dxa"/>
            <w:left w:w="108" w:type="dxa"/>
            <w:bottom w:w="0" w:type="dxa"/>
            <w:right w:w="108" w:type="dxa"/>
          </w:tblCellMar>
        </w:tblPrEx>
        <w:trPr>
          <w:trHeight w:val="278" w:hRule="atLeast"/>
          <w:jc w:val="center"/>
        </w:trPr>
        <w:tc>
          <w:tcPr>
            <w:tcW w:w="567" w:type="dxa"/>
            <w:vMerge w:val="continue"/>
            <w:tcBorders>
              <w:top w:val="nil"/>
              <w:left w:val="single" w:color="auto" w:sz="4" w:space="0"/>
              <w:bottom w:val="single" w:color="auto" w:sz="4" w:space="0"/>
              <w:right w:val="single" w:color="auto" w:sz="4" w:space="0"/>
            </w:tcBorders>
            <w:vAlign w:val="center"/>
          </w:tcPr>
          <w:p w14:paraId="0C3AFE86">
            <w:pPr>
              <w:pStyle w:val="40"/>
            </w:pPr>
          </w:p>
        </w:tc>
        <w:tc>
          <w:tcPr>
            <w:tcW w:w="851" w:type="dxa"/>
            <w:tcBorders>
              <w:top w:val="nil"/>
              <w:left w:val="nil"/>
              <w:bottom w:val="single" w:color="auto" w:sz="4" w:space="0"/>
              <w:right w:val="single" w:color="auto" w:sz="4" w:space="0"/>
            </w:tcBorders>
            <w:shd w:val="clear" w:color="000000" w:fill="DDEBF7"/>
            <w:noWrap/>
            <w:vAlign w:val="bottom"/>
          </w:tcPr>
          <w:p w14:paraId="38DDFD28">
            <w:pPr>
              <w:pStyle w:val="40"/>
            </w:pPr>
            <w:r>
              <w:rPr>
                <w:rFonts w:hint="eastAsia"/>
              </w:rPr>
              <w:t>2025</w:t>
            </w:r>
          </w:p>
        </w:tc>
        <w:tc>
          <w:tcPr>
            <w:tcW w:w="1108" w:type="dxa"/>
            <w:tcBorders>
              <w:top w:val="nil"/>
              <w:left w:val="nil"/>
              <w:bottom w:val="single" w:color="auto" w:sz="4" w:space="0"/>
              <w:right w:val="single" w:color="auto" w:sz="4" w:space="0"/>
            </w:tcBorders>
            <w:shd w:val="clear" w:color="000000" w:fill="DDEBF7"/>
            <w:noWrap/>
            <w:vAlign w:val="bottom"/>
          </w:tcPr>
          <w:p w14:paraId="231644E1">
            <w:pPr>
              <w:pStyle w:val="40"/>
            </w:pPr>
            <w:r>
              <w:rPr>
                <w:rFonts w:hint="eastAsia"/>
              </w:rPr>
              <w:t>4135</w:t>
            </w:r>
          </w:p>
        </w:tc>
        <w:tc>
          <w:tcPr>
            <w:tcW w:w="1109" w:type="dxa"/>
            <w:tcBorders>
              <w:top w:val="nil"/>
              <w:left w:val="nil"/>
              <w:bottom w:val="single" w:color="auto" w:sz="4" w:space="0"/>
              <w:right w:val="single" w:color="auto" w:sz="4" w:space="0"/>
            </w:tcBorders>
            <w:shd w:val="clear" w:color="000000" w:fill="DDEBF7"/>
            <w:noWrap/>
            <w:vAlign w:val="bottom"/>
          </w:tcPr>
          <w:p w14:paraId="2EE831A2">
            <w:pPr>
              <w:pStyle w:val="40"/>
            </w:pPr>
            <w:r>
              <w:rPr>
                <w:rFonts w:hint="eastAsia"/>
              </w:rPr>
              <w:t>1587</w:t>
            </w:r>
          </w:p>
        </w:tc>
        <w:tc>
          <w:tcPr>
            <w:tcW w:w="1109" w:type="dxa"/>
            <w:tcBorders>
              <w:top w:val="nil"/>
              <w:left w:val="nil"/>
              <w:bottom w:val="single" w:color="auto" w:sz="4" w:space="0"/>
              <w:right w:val="single" w:color="auto" w:sz="4" w:space="0"/>
            </w:tcBorders>
            <w:shd w:val="clear" w:color="000000" w:fill="DDEBF7"/>
            <w:noWrap/>
            <w:vAlign w:val="bottom"/>
          </w:tcPr>
          <w:p w14:paraId="40D3F13D">
            <w:pPr>
              <w:pStyle w:val="40"/>
            </w:pPr>
            <w:r>
              <w:rPr>
                <w:rFonts w:hint="eastAsia"/>
              </w:rPr>
              <w:t>2195</w:t>
            </w:r>
          </w:p>
        </w:tc>
        <w:tc>
          <w:tcPr>
            <w:tcW w:w="1109" w:type="dxa"/>
            <w:tcBorders>
              <w:top w:val="nil"/>
              <w:left w:val="nil"/>
              <w:bottom w:val="single" w:color="auto" w:sz="4" w:space="0"/>
              <w:right w:val="single" w:color="auto" w:sz="4" w:space="0"/>
            </w:tcBorders>
            <w:shd w:val="clear" w:color="000000" w:fill="DDEBF7"/>
            <w:noWrap/>
            <w:vAlign w:val="bottom"/>
          </w:tcPr>
          <w:p w14:paraId="224401D1">
            <w:pPr>
              <w:pStyle w:val="40"/>
            </w:pPr>
            <w:r>
              <w:rPr>
                <w:rFonts w:hint="eastAsia"/>
              </w:rPr>
              <w:t>353</w:t>
            </w:r>
          </w:p>
        </w:tc>
        <w:tc>
          <w:tcPr>
            <w:tcW w:w="1109" w:type="dxa"/>
            <w:tcBorders>
              <w:top w:val="nil"/>
              <w:left w:val="nil"/>
              <w:bottom w:val="single" w:color="auto" w:sz="4" w:space="0"/>
              <w:right w:val="single" w:color="auto" w:sz="4" w:space="0"/>
            </w:tcBorders>
            <w:shd w:val="clear" w:color="000000" w:fill="DDEBF7"/>
            <w:noWrap/>
            <w:vAlign w:val="bottom"/>
          </w:tcPr>
          <w:p w14:paraId="5421C658">
            <w:pPr>
              <w:pStyle w:val="40"/>
            </w:pPr>
            <w:r>
              <w:rPr>
                <w:rFonts w:hint="eastAsia"/>
              </w:rPr>
              <w:t>11</w:t>
            </w:r>
          </w:p>
        </w:tc>
        <w:tc>
          <w:tcPr>
            <w:tcW w:w="1109" w:type="dxa"/>
            <w:tcBorders>
              <w:top w:val="nil"/>
              <w:left w:val="nil"/>
              <w:bottom w:val="single" w:color="auto" w:sz="4" w:space="0"/>
              <w:right w:val="single" w:color="auto" w:sz="4" w:space="0"/>
            </w:tcBorders>
            <w:shd w:val="clear" w:color="000000" w:fill="DDEBF7"/>
            <w:noWrap/>
            <w:vAlign w:val="bottom"/>
          </w:tcPr>
          <w:p w14:paraId="542DCB35">
            <w:pPr>
              <w:pStyle w:val="40"/>
            </w:pPr>
            <w:r>
              <w:rPr>
                <w:rFonts w:hint="eastAsia"/>
              </w:rPr>
              <w:t>1806</w:t>
            </w:r>
          </w:p>
        </w:tc>
        <w:tc>
          <w:tcPr>
            <w:tcW w:w="1109" w:type="dxa"/>
            <w:tcBorders>
              <w:top w:val="nil"/>
              <w:left w:val="nil"/>
              <w:bottom w:val="single" w:color="auto" w:sz="4" w:space="0"/>
              <w:right w:val="single" w:color="auto" w:sz="4" w:space="0"/>
            </w:tcBorders>
            <w:shd w:val="clear" w:color="000000" w:fill="DDEBF7"/>
            <w:noWrap/>
            <w:vAlign w:val="bottom"/>
          </w:tcPr>
          <w:p w14:paraId="5BAEEA1B">
            <w:pPr>
              <w:pStyle w:val="40"/>
            </w:pPr>
            <w:r>
              <w:rPr>
                <w:rFonts w:hint="eastAsia"/>
              </w:rPr>
              <w:t>2318</w:t>
            </w:r>
          </w:p>
        </w:tc>
      </w:tr>
    </w:tbl>
    <w:p w14:paraId="5EB3368C">
      <w:pPr>
        <w:ind w:firstLine="0" w:firstLineChars="0"/>
      </w:pPr>
    </w:p>
    <w:p w14:paraId="22328DFD">
      <w:pPr>
        <w:widowControl/>
        <w:suppressAutoHyphens w:val="0"/>
        <w:spacing w:line="240" w:lineRule="auto"/>
        <w:ind w:firstLine="0" w:firstLineChars="0"/>
        <w:jc w:val="left"/>
      </w:pPr>
      <w:r>
        <w:br w:type="page"/>
      </w:r>
    </w:p>
    <w:p w14:paraId="2507215B">
      <w:pPr>
        <w:ind w:firstLine="0" w:firstLineChars="0"/>
      </w:pPr>
    </w:p>
    <w:p w14:paraId="271A8162">
      <w:pPr>
        <w:pStyle w:val="40"/>
      </w:pPr>
      <w:bookmarkStart w:id="92" w:name="_Toc76743869"/>
      <w:r>
        <w:rPr>
          <w:rFonts w:hint="eastAsia"/>
        </w:rPr>
        <w:t>附件三</w:t>
      </w:r>
      <w:r>
        <w:t xml:space="preserve">  相关</w:t>
      </w:r>
      <w:r>
        <w:rPr>
          <w:rFonts w:hint="eastAsia"/>
        </w:rPr>
        <w:t>政策与文件梳理</w:t>
      </w:r>
      <w:bookmarkEnd w:id="92"/>
    </w:p>
    <w:p w14:paraId="4375D652">
      <w:pPr>
        <w:pStyle w:val="57"/>
      </w:pPr>
      <w:r>
        <w:rPr>
          <w:rFonts w:hint="eastAsia"/>
        </w:rPr>
        <w:t>一、顶层目标政策文件汇总</w:t>
      </w:r>
    </w:p>
    <w:p w14:paraId="13607DB7">
      <w:pPr>
        <w:pStyle w:val="61"/>
        <w:ind w:firstLine="0"/>
      </w:pPr>
      <w:r>
        <w:rPr>
          <w:rFonts w:hint="eastAsia"/>
        </w:rPr>
        <w:t>（一）相关规划</w:t>
      </w:r>
    </w:p>
    <w:tbl>
      <w:tblPr>
        <w:tblStyle w:val="20"/>
        <w:tblW w:w="0" w:type="auto"/>
        <w:jc w:val="center"/>
        <w:tblLayout w:type="fixed"/>
        <w:tblCellMar>
          <w:top w:w="0" w:type="dxa"/>
          <w:left w:w="108" w:type="dxa"/>
          <w:bottom w:w="0" w:type="dxa"/>
          <w:right w:w="108" w:type="dxa"/>
        </w:tblCellMar>
      </w:tblPr>
      <w:tblGrid>
        <w:gridCol w:w="1076"/>
        <w:gridCol w:w="6829"/>
      </w:tblGrid>
      <w:tr w14:paraId="33A6C816">
        <w:tblPrEx>
          <w:tblCellMar>
            <w:top w:w="0" w:type="dxa"/>
            <w:left w:w="108" w:type="dxa"/>
            <w:bottom w:w="0" w:type="dxa"/>
            <w:right w:w="108" w:type="dxa"/>
          </w:tblCellMar>
        </w:tblPrEx>
        <w:trPr>
          <w:trHeight w:val="315" w:hRule="atLeast"/>
          <w:jc w:val="center"/>
        </w:trPr>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88D66B">
            <w:pPr>
              <w:widowControl/>
              <w:suppressAutoHyphens w:val="0"/>
              <w:spacing w:line="240" w:lineRule="auto"/>
              <w:ind w:firstLine="0" w:firstLineChars="0"/>
              <w:jc w:val="center"/>
              <w:rPr>
                <w:rFonts w:cs="宋体"/>
                <w:b/>
                <w:bCs/>
                <w:color w:val="000000"/>
                <w:kern w:val="0"/>
                <w:sz w:val="21"/>
                <w:szCs w:val="21"/>
              </w:rPr>
            </w:pPr>
            <w:r>
              <w:rPr>
                <w:rFonts w:hint="eastAsia" w:cs="宋体"/>
                <w:b/>
                <w:bCs/>
                <w:color w:val="000000"/>
                <w:kern w:val="0"/>
                <w:sz w:val="21"/>
                <w:szCs w:val="21"/>
              </w:rPr>
              <w:t>层面</w:t>
            </w:r>
          </w:p>
        </w:tc>
        <w:tc>
          <w:tcPr>
            <w:tcW w:w="6829" w:type="dxa"/>
            <w:tcBorders>
              <w:top w:val="single" w:color="auto" w:sz="4" w:space="0"/>
              <w:left w:val="nil"/>
              <w:bottom w:val="single" w:color="auto" w:sz="4" w:space="0"/>
              <w:right w:val="single" w:color="auto" w:sz="4" w:space="0"/>
            </w:tcBorders>
            <w:shd w:val="clear" w:color="auto" w:fill="auto"/>
            <w:noWrap/>
            <w:vAlign w:val="bottom"/>
          </w:tcPr>
          <w:p w14:paraId="3B82D998">
            <w:pPr>
              <w:widowControl/>
              <w:suppressAutoHyphens w:val="0"/>
              <w:spacing w:line="240" w:lineRule="auto"/>
              <w:ind w:firstLine="0" w:firstLineChars="0"/>
              <w:jc w:val="center"/>
              <w:rPr>
                <w:rFonts w:cs="宋体"/>
                <w:b/>
                <w:bCs/>
                <w:color w:val="000000"/>
                <w:kern w:val="0"/>
                <w:sz w:val="21"/>
                <w:szCs w:val="21"/>
              </w:rPr>
            </w:pPr>
            <w:r>
              <w:rPr>
                <w:rFonts w:hint="eastAsia" w:cs="宋体"/>
                <w:b/>
                <w:bCs/>
                <w:color w:val="000000"/>
                <w:kern w:val="0"/>
                <w:sz w:val="21"/>
                <w:szCs w:val="21"/>
              </w:rPr>
              <w:t>相关规划</w:t>
            </w:r>
          </w:p>
        </w:tc>
      </w:tr>
      <w:tr w14:paraId="09A4FB0F">
        <w:tblPrEx>
          <w:tblCellMar>
            <w:top w:w="0" w:type="dxa"/>
            <w:left w:w="108" w:type="dxa"/>
            <w:bottom w:w="0" w:type="dxa"/>
            <w:right w:w="108" w:type="dxa"/>
          </w:tblCellMar>
        </w:tblPrEx>
        <w:trPr>
          <w:trHeight w:val="645" w:hRule="atLeast"/>
          <w:jc w:val="center"/>
        </w:trPr>
        <w:tc>
          <w:tcPr>
            <w:tcW w:w="1076" w:type="dxa"/>
            <w:tcBorders>
              <w:top w:val="nil"/>
              <w:left w:val="single" w:color="auto" w:sz="4" w:space="0"/>
              <w:bottom w:val="single" w:color="auto" w:sz="4" w:space="0"/>
              <w:right w:val="single" w:color="auto" w:sz="4" w:space="0"/>
            </w:tcBorders>
            <w:shd w:val="clear" w:color="auto" w:fill="auto"/>
            <w:noWrap/>
            <w:vAlign w:val="bottom"/>
          </w:tcPr>
          <w:p w14:paraId="343E57A7">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国家</w:t>
            </w:r>
          </w:p>
        </w:tc>
        <w:tc>
          <w:tcPr>
            <w:tcW w:w="6829" w:type="dxa"/>
            <w:tcBorders>
              <w:top w:val="nil"/>
              <w:left w:val="nil"/>
              <w:bottom w:val="single" w:color="auto" w:sz="4" w:space="0"/>
              <w:right w:val="single" w:color="auto" w:sz="4" w:space="0"/>
            </w:tcBorders>
            <w:shd w:val="clear" w:color="auto" w:fill="auto"/>
            <w:noWrap/>
            <w:vAlign w:val="bottom"/>
          </w:tcPr>
          <w:p w14:paraId="35F24EA8">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《中华人民共和国国民经济和社会发展第十四个五年规划和二〇三五年远景目标纲要》</w:t>
            </w:r>
          </w:p>
        </w:tc>
      </w:tr>
      <w:tr w14:paraId="5BF91EA2">
        <w:tblPrEx>
          <w:tblCellMar>
            <w:top w:w="0" w:type="dxa"/>
            <w:left w:w="108" w:type="dxa"/>
            <w:bottom w:w="0" w:type="dxa"/>
            <w:right w:w="108" w:type="dxa"/>
          </w:tblCellMar>
        </w:tblPrEx>
        <w:trPr>
          <w:trHeight w:val="315" w:hRule="atLeast"/>
          <w:jc w:val="center"/>
        </w:trPr>
        <w:tc>
          <w:tcPr>
            <w:tcW w:w="1076" w:type="dxa"/>
            <w:tcBorders>
              <w:top w:val="nil"/>
              <w:left w:val="single" w:color="auto" w:sz="4" w:space="0"/>
              <w:bottom w:val="single" w:color="auto" w:sz="4" w:space="0"/>
              <w:right w:val="single" w:color="auto" w:sz="4" w:space="0"/>
            </w:tcBorders>
            <w:shd w:val="clear" w:color="auto" w:fill="auto"/>
            <w:noWrap/>
            <w:vAlign w:val="bottom"/>
          </w:tcPr>
          <w:p w14:paraId="7DD1F930">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东北</w:t>
            </w:r>
          </w:p>
        </w:tc>
        <w:tc>
          <w:tcPr>
            <w:tcW w:w="6829" w:type="dxa"/>
            <w:tcBorders>
              <w:top w:val="nil"/>
              <w:left w:val="nil"/>
              <w:bottom w:val="single" w:color="auto" w:sz="4" w:space="0"/>
              <w:right w:val="single" w:color="auto" w:sz="4" w:space="0"/>
            </w:tcBorders>
            <w:shd w:val="clear" w:color="auto" w:fill="auto"/>
            <w:noWrap/>
            <w:vAlign w:val="bottom"/>
          </w:tcPr>
          <w:p w14:paraId="76250E88">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北方地区冬季清洁取暖规划（2017-2021年）</w:t>
            </w:r>
          </w:p>
        </w:tc>
      </w:tr>
      <w:tr w14:paraId="7EED75CE">
        <w:tblPrEx>
          <w:tblCellMar>
            <w:top w:w="0" w:type="dxa"/>
            <w:left w:w="108" w:type="dxa"/>
            <w:bottom w:w="0" w:type="dxa"/>
            <w:right w:w="108" w:type="dxa"/>
          </w:tblCellMar>
        </w:tblPrEx>
        <w:trPr>
          <w:trHeight w:val="315" w:hRule="atLeast"/>
          <w:jc w:val="center"/>
        </w:trPr>
        <w:tc>
          <w:tcPr>
            <w:tcW w:w="1076" w:type="dxa"/>
            <w:tcBorders>
              <w:top w:val="nil"/>
              <w:left w:val="single" w:color="auto" w:sz="4" w:space="0"/>
              <w:bottom w:val="single" w:color="auto" w:sz="4" w:space="0"/>
              <w:right w:val="single" w:color="auto" w:sz="4" w:space="0"/>
            </w:tcBorders>
            <w:shd w:val="clear" w:color="auto" w:fill="auto"/>
            <w:noWrap/>
            <w:vAlign w:val="bottom"/>
          </w:tcPr>
          <w:p w14:paraId="03306C0A">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辽宁省</w:t>
            </w:r>
          </w:p>
        </w:tc>
        <w:tc>
          <w:tcPr>
            <w:tcW w:w="6829" w:type="dxa"/>
            <w:tcBorders>
              <w:top w:val="nil"/>
              <w:left w:val="nil"/>
              <w:bottom w:val="single" w:color="auto" w:sz="4" w:space="0"/>
              <w:right w:val="single" w:color="auto" w:sz="4" w:space="0"/>
            </w:tcBorders>
            <w:shd w:val="clear" w:color="auto" w:fill="auto"/>
            <w:noWrap/>
            <w:vAlign w:val="bottom"/>
          </w:tcPr>
          <w:p w14:paraId="3B02E336">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《辽宁省国民经济和社会发展第十四个五年规划和二〇三五年远景目标纲要》</w:t>
            </w:r>
          </w:p>
        </w:tc>
      </w:tr>
      <w:tr w14:paraId="2A60404E">
        <w:tblPrEx>
          <w:tblCellMar>
            <w:top w:w="0" w:type="dxa"/>
            <w:left w:w="108" w:type="dxa"/>
            <w:bottom w:w="0" w:type="dxa"/>
            <w:right w:w="108" w:type="dxa"/>
          </w:tblCellMar>
        </w:tblPrEx>
        <w:trPr>
          <w:trHeight w:val="315" w:hRule="atLeast"/>
          <w:jc w:val="center"/>
        </w:trPr>
        <w:tc>
          <w:tcPr>
            <w:tcW w:w="1076" w:type="dxa"/>
            <w:tcBorders>
              <w:top w:val="nil"/>
              <w:left w:val="single" w:color="auto" w:sz="4" w:space="0"/>
              <w:bottom w:val="single" w:color="auto" w:sz="4" w:space="0"/>
              <w:right w:val="single" w:color="auto" w:sz="4" w:space="0"/>
            </w:tcBorders>
            <w:shd w:val="clear" w:color="auto" w:fill="auto"/>
            <w:noWrap/>
            <w:vAlign w:val="bottom"/>
          </w:tcPr>
          <w:p w14:paraId="0D6DEDB6">
            <w:pPr>
              <w:widowControl/>
              <w:suppressAutoHyphens w:val="0"/>
              <w:spacing w:line="240" w:lineRule="auto"/>
              <w:ind w:firstLine="0" w:firstLineChars="0"/>
              <w:jc w:val="center"/>
              <w:rPr>
                <w:rFonts w:cs="宋体"/>
                <w:color w:val="000000"/>
                <w:kern w:val="0"/>
                <w:sz w:val="21"/>
                <w:szCs w:val="21"/>
              </w:rPr>
            </w:pPr>
          </w:p>
        </w:tc>
        <w:tc>
          <w:tcPr>
            <w:tcW w:w="6829" w:type="dxa"/>
            <w:tcBorders>
              <w:top w:val="nil"/>
              <w:left w:val="nil"/>
              <w:bottom w:val="single" w:color="auto" w:sz="4" w:space="0"/>
              <w:right w:val="single" w:color="auto" w:sz="4" w:space="0"/>
            </w:tcBorders>
            <w:shd w:val="clear" w:color="auto" w:fill="auto"/>
            <w:noWrap/>
            <w:vAlign w:val="bottom"/>
          </w:tcPr>
          <w:p w14:paraId="5DFC188E">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《辽宁省国民经济和社会发展第十三个五年规划纲要》</w:t>
            </w:r>
          </w:p>
        </w:tc>
      </w:tr>
      <w:tr w14:paraId="176BB36D">
        <w:tblPrEx>
          <w:tblCellMar>
            <w:top w:w="0" w:type="dxa"/>
            <w:left w:w="108" w:type="dxa"/>
            <w:bottom w:w="0" w:type="dxa"/>
            <w:right w:w="108" w:type="dxa"/>
          </w:tblCellMar>
        </w:tblPrEx>
        <w:trPr>
          <w:trHeight w:val="315" w:hRule="atLeast"/>
          <w:jc w:val="center"/>
        </w:trPr>
        <w:tc>
          <w:tcPr>
            <w:tcW w:w="1076" w:type="dxa"/>
            <w:tcBorders>
              <w:top w:val="nil"/>
              <w:left w:val="single" w:color="auto" w:sz="4" w:space="0"/>
              <w:bottom w:val="single" w:color="auto" w:sz="4" w:space="0"/>
              <w:right w:val="single" w:color="auto" w:sz="4" w:space="0"/>
            </w:tcBorders>
            <w:shd w:val="clear" w:color="auto" w:fill="auto"/>
            <w:noWrap/>
            <w:vAlign w:val="bottom"/>
          </w:tcPr>
          <w:p w14:paraId="024B9AFA">
            <w:pPr>
              <w:widowControl/>
              <w:suppressAutoHyphens w:val="0"/>
              <w:spacing w:line="240" w:lineRule="auto"/>
              <w:ind w:firstLine="0" w:firstLineChars="0"/>
              <w:jc w:val="center"/>
              <w:rPr>
                <w:rFonts w:cs="宋体"/>
                <w:color w:val="000000"/>
                <w:kern w:val="0"/>
                <w:sz w:val="21"/>
                <w:szCs w:val="21"/>
              </w:rPr>
            </w:pPr>
          </w:p>
        </w:tc>
        <w:tc>
          <w:tcPr>
            <w:tcW w:w="6829" w:type="dxa"/>
            <w:tcBorders>
              <w:top w:val="nil"/>
              <w:left w:val="nil"/>
              <w:bottom w:val="single" w:color="auto" w:sz="4" w:space="0"/>
              <w:right w:val="single" w:color="auto" w:sz="4" w:space="0"/>
            </w:tcBorders>
            <w:shd w:val="clear" w:color="auto" w:fill="auto"/>
            <w:noWrap/>
            <w:vAlign w:val="bottom"/>
          </w:tcPr>
          <w:p w14:paraId="3B640095">
            <w:pPr>
              <w:widowControl/>
              <w:suppressAutoHyphens w:val="0"/>
              <w:spacing w:line="240" w:lineRule="auto"/>
              <w:ind w:firstLine="0" w:firstLineChars="0"/>
              <w:jc w:val="center"/>
              <w:rPr>
                <w:rFonts w:cs="宋体"/>
                <w:color w:val="000000"/>
                <w:kern w:val="0"/>
                <w:sz w:val="21"/>
                <w:szCs w:val="21"/>
              </w:rPr>
            </w:pPr>
            <w:bookmarkStart w:id="93" w:name="RANGE!B6"/>
            <w:r>
              <w:rPr>
                <w:rFonts w:hint="eastAsia" w:cs="宋体"/>
                <w:color w:val="000000"/>
                <w:kern w:val="0"/>
                <w:sz w:val="21"/>
                <w:szCs w:val="21"/>
              </w:rPr>
              <w:t>《辽宁省住房和城乡建设事业发展“十三五”规划》</w:t>
            </w:r>
            <w:bookmarkEnd w:id="93"/>
          </w:p>
        </w:tc>
      </w:tr>
      <w:tr w14:paraId="4D2D29B9">
        <w:tblPrEx>
          <w:tblCellMar>
            <w:top w:w="0" w:type="dxa"/>
            <w:left w:w="108" w:type="dxa"/>
            <w:bottom w:w="0" w:type="dxa"/>
            <w:right w:w="108" w:type="dxa"/>
          </w:tblCellMar>
        </w:tblPrEx>
        <w:trPr>
          <w:trHeight w:val="315" w:hRule="atLeast"/>
          <w:jc w:val="center"/>
        </w:trPr>
        <w:tc>
          <w:tcPr>
            <w:tcW w:w="1076" w:type="dxa"/>
            <w:tcBorders>
              <w:top w:val="nil"/>
              <w:left w:val="single" w:color="auto" w:sz="4" w:space="0"/>
              <w:bottom w:val="single" w:color="auto" w:sz="4" w:space="0"/>
              <w:right w:val="single" w:color="auto" w:sz="4" w:space="0"/>
            </w:tcBorders>
            <w:shd w:val="clear" w:color="auto" w:fill="auto"/>
            <w:noWrap/>
            <w:vAlign w:val="bottom"/>
          </w:tcPr>
          <w:p w14:paraId="39118754">
            <w:pPr>
              <w:widowControl/>
              <w:suppressAutoHyphens w:val="0"/>
              <w:spacing w:line="240" w:lineRule="auto"/>
              <w:ind w:firstLine="0" w:firstLineChars="0"/>
              <w:jc w:val="center"/>
              <w:rPr>
                <w:rFonts w:cs="宋体"/>
                <w:color w:val="000000"/>
                <w:kern w:val="0"/>
                <w:sz w:val="21"/>
                <w:szCs w:val="21"/>
              </w:rPr>
            </w:pPr>
          </w:p>
        </w:tc>
        <w:tc>
          <w:tcPr>
            <w:tcW w:w="6829" w:type="dxa"/>
            <w:tcBorders>
              <w:top w:val="nil"/>
              <w:left w:val="nil"/>
              <w:bottom w:val="single" w:color="auto" w:sz="4" w:space="0"/>
              <w:right w:val="single" w:color="auto" w:sz="4" w:space="0"/>
            </w:tcBorders>
            <w:shd w:val="clear" w:color="auto" w:fill="auto"/>
            <w:noWrap/>
            <w:vAlign w:val="bottom"/>
          </w:tcPr>
          <w:p w14:paraId="14EE04AB">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《辽宁五大区域建设发展三年计划（2018-2020年）》</w:t>
            </w:r>
          </w:p>
        </w:tc>
      </w:tr>
      <w:tr w14:paraId="333F193C">
        <w:tblPrEx>
          <w:tblCellMar>
            <w:top w:w="0" w:type="dxa"/>
            <w:left w:w="108" w:type="dxa"/>
            <w:bottom w:w="0" w:type="dxa"/>
            <w:right w:w="108" w:type="dxa"/>
          </w:tblCellMar>
        </w:tblPrEx>
        <w:trPr>
          <w:trHeight w:val="315" w:hRule="atLeast"/>
          <w:jc w:val="center"/>
        </w:trPr>
        <w:tc>
          <w:tcPr>
            <w:tcW w:w="1076" w:type="dxa"/>
            <w:tcBorders>
              <w:top w:val="nil"/>
              <w:left w:val="single" w:color="auto" w:sz="4" w:space="0"/>
              <w:bottom w:val="single" w:color="auto" w:sz="4" w:space="0"/>
              <w:right w:val="single" w:color="auto" w:sz="4" w:space="0"/>
            </w:tcBorders>
            <w:shd w:val="clear" w:color="auto" w:fill="auto"/>
            <w:noWrap/>
            <w:vAlign w:val="bottom"/>
          </w:tcPr>
          <w:p w14:paraId="1E7DB678">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沈阳市</w:t>
            </w:r>
          </w:p>
        </w:tc>
        <w:tc>
          <w:tcPr>
            <w:tcW w:w="6829" w:type="dxa"/>
            <w:tcBorders>
              <w:top w:val="nil"/>
              <w:left w:val="nil"/>
              <w:bottom w:val="single" w:color="auto" w:sz="4" w:space="0"/>
              <w:right w:val="single" w:color="auto" w:sz="4" w:space="0"/>
            </w:tcBorders>
            <w:shd w:val="clear" w:color="auto" w:fill="auto"/>
            <w:noWrap/>
            <w:vAlign w:val="bottom"/>
          </w:tcPr>
          <w:p w14:paraId="4BD2F284">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《沈阳市国民经济和社会发展第十三个五年规划纲要》</w:t>
            </w:r>
          </w:p>
        </w:tc>
      </w:tr>
      <w:tr w14:paraId="4834D196">
        <w:tblPrEx>
          <w:tblCellMar>
            <w:top w:w="0" w:type="dxa"/>
            <w:left w:w="108" w:type="dxa"/>
            <w:bottom w:w="0" w:type="dxa"/>
            <w:right w:w="108" w:type="dxa"/>
          </w:tblCellMar>
        </w:tblPrEx>
        <w:trPr>
          <w:trHeight w:val="315" w:hRule="atLeast"/>
          <w:jc w:val="center"/>
        </w:trPr>
        <w:tc>
          <w:tcPr>
            <w:tcW w:w="1076" w:type="dxa"/>
            <w:tcBorders>
              <w:top w:val="nil"/>
              <w:left w:val="single" w:color="auto" w:sz="4" w:space="0"/>
              <w:bottom w:val="single" w:color="auto" w:sz="4" w:space="0"/>
              <w:right w:val="single" w:color="auto" w:sz="4" w:space="0"/>
            </w:tcBorders>
            <w:shd w:val="clear" w:color="auto" w:fill="auto"/>
            <w:noWrap/>
            <w:vAlign w:val="bottom"/>
          </w:tcPr>
          <w:p w14:paraId="3CA8C777">
            <w:pPr>
              <w:widowControl/>
              <w:suppressAutoHyphens w:val="0"/>
              <w:spacing w:line="240" w:lineRule="auto"/>
              <w:ind w:firstLine="0" w:firstLineChars="0"/>
              <w:jc w:val="center"/>
              <w:rPr>
                <w:rFonts w:cs="宋体"/>
                <w:color w:val="000000"/>
                <w:kern w:val="0"/>
                <w:sz w:val="21"/>
                <w:szCs w:val="21"/>
              </w:rPr>
            </w:pPr>
          </w:p>
        </w:tc>
        <w:tc>
          <w:tcPr>
            <w:tcW w:w="6829" w:type="dxa"/>
            <w:tcBorders>
              <w:top w:val="nil"/>
              <w:left w:val="nil"/>
              <w:bottom w:val="single" w:color="auto" w:sz="4" w:space="0"/>
              <w:right w:val="single" w:color="auto" w:sz="4" w:space="0"/>
            </w:tcBorders>
            <w:shd w:val="clear" w:color="auto" w:fill="auto"/>
            <w:noWrap/>
            <w:vAlign w:val="bottom"/>
          </w:tcPr>
          <w:p w14:paraId="0EF6A2D1">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《沈阳市国民经济和社会发展第十四个五年规划和二〇三五年远景目标纲要》</w:t>
            </w:r>
          </w:p>
        </w:tc>
      </w:tr>
      <w:tr w14:paraId="249A88D5">
        <w:tblPrEx>
          <w:tblCellMar>
            <w:top w:w="0" w:type="dxa"/>
            <w:left w:w="108" w:type="dxa"/>
            <w:bottom w:w="0" w:type="dxa"/>
            <w:right w:w="108" w:type="dxa"/>
          </w:tblCellMar>
        </w:tblPrEx>
        <w:trPr>
          <w:trHeight w:val="315" w:hRule="atLeast"/>
          <w:jc w:val="center"/>
        </w:trPr>
        <w:tc>
          <w:tcPr>
            <w:tcW w:w="1076" w:type="dxa"/>
            <w:tcBorders>
              <w:top w:val="nil"/>
              <w:left w:val="single" w:color="auto" w:sz="4" w:space="0"/>
              <w:bottom w:val="single" w:color="auto" w:sz="4" w:space="0"/>
              <w:right w:val="single" w:color="auto" w:sz="4" w:space="0"/>
            </w:tcBorders>
            <w:shd w:val="clear" w:color="auto" w:fill="auto"/>
            <w:noWrap/>
            <w:vAlign w:val="bottom"/>
          </w:tcPr>
          <w:p w14:paraId="23633E7C">
            <w:pPr>
              <w:widowControl/>
              <w:suppressAutoHyphens w:val="0"/>
              <w:spacing w:line="240" w:lineRule="auto"/>
              <w:ind w:firstLine="0" w:firstLineChars="0"/>
              <w:jc w:val="center"/>
              <w:rPr>
                <w:rFonts w:cs="宋体"/>
                <w:color w:val="000000"/>
                <w:kern w:val="0"/>
                <w:sz w:val="21"/>
                <w:szCs w:val="21"/>
              </w:rPr>
            </w:pPr>
          </w:p>
        </w:tc>
        <w:tc>
          <w:tcPr>
            <w:tcW w:w="6829" w:type="dxa"/>
            <w:tcBorders>
              <w:top w:val="nil"/>
              <w:left w:val="nil"/>
              <w:bottom w:val="single" w:color="auto" w:sz="4" w:space="0"/>
              <w:right w:val="single" w:color="auto" w:sz="4" w:space="0"/>
            </w:tcBorders>
            <w:shd w:val="clear" w:color="auto" w:fill="auto"/>
            <w:noWrap/>
            <w:vAlign w:val="bottom"/>
          </w:tcPr>
          <w:p w14:paraId="1C68E14E">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《沈阳市智慧城市总体规划（2016年-2020年）》</w:t>
            </w:r>
          </w:p>
        </w:tc>
      </w:tr>
      <w:tr w14:paraId="2350204E">
        <w:tblPrEx>
          <w:tblCellMar>
            <w:top w:w="0" w:type="dxa"/>
            <w:left w:w="108" w:type="dxa"/>
            <w:bottom w:w="0" w:type="dxa"/>
            <w:right w:w="108" w:type="dxa"/>
          </w:tblCellMar>
        </w:tblPrEx>
        <w:trPr>
          <w:trHeight w:val="315" w:hRule="atLeast"/>
          <w:jc w:val="center"/>
        </w:trPr>
        <w:tc>
          <w:tcPr>
            <w:tcW w:w="1076" w:type="dxa"/>
            <w:tcBorders>
              <w:top w:val="nil"/>
              <w:left w:val="single" w:color="auto" w:sz="4" w:space="0"/>
              <w:bottom w:val="single" w:color="auto" w:sz="4" w:space="0"/>
              <w:right w:val="single" w:color="auto" w:sz="4" w:space="0"/>
            </w:tcBorders>
            <w:shd w:val="clear" w:color="auto" w:fill="auto"/>
            <w:noWrap/>
            <w:vAlign w:val="bottom"/>
          </w:tcPr>
          <w:p w14:paraId="1317CF32">
            <w:pPr>
              <w:widowControl/>
              <w:suppressAutoHyphens w:val="0"/>
              <w:spacing w:line="240" w:lineRule="auto"/>
              <w:ind w:firstLine="0" w:firstLineChars="0"/>
              <w:jc w:val="center"/>
              <w:rPr>
                <w:rFonts w:cs="宋体"/>
                <w:color w:val="000000"/>
                <w:kern w:val="0"/>
                <w:sz w:val="21"/>
                <w:szCs w:val="21"/>
              </w:rPr>
            </w:pPr>
          </w:p>
        </w:tc>
        <w:tc>
          <w:tcPr>
            <w:tcW w:w="6829" w:type="dxa"/>
            <w:tcBorders>
              <w:top w:val="nil"/>
              <w:left w:val="nil"/>
              <w:bottom w:val="single" w:color="auto" w:sz="4" w:space="0"/>
              <w:right w:val="single" w:color="auto" w:sz="4" w:space="0"/>
            </w:tcBorders>
            <w:shd w:val="clear" w:color="auto" w:fill="auto"/>
            <w:noWrap/>
            <w:vAlign w:val="bottom"/>
          </w:tcPr>
          <w:p w14:paraId="61AB6F91">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《沈阳振兴发展战略规划》</w:t>
            </w:r>
          </w:p>
        </w:tc>
      </w:tr>
      <w:tr w14:paraId="557683D8">
        <w:tblPrEx>
          <w:tblCellMar>
            <w:top w:w="0" w:type="dxa"/>
            <w:left w:w="108" w:type="dxa"/>
            <w:bottom w:w="0" w:type="dxa"/>
            <w:right w:w="108" w:type="dxa"/>
          </w:tblCellMar>
        </w:tblPrEx>
        <w:trPr>
          <w:trHeight w:val="315" w:hRule="atLeast"/>
          <w:jc w:val="center"/>
        </w:trPr>
        <w:tc>
          <w:tcPr>
            <w:tcW w:w="1076" w:type="dxa"/>
            <w:tcBorders>
              <w:top w:val="nil"/>
              <w:left w:val="single" w:color="auto" w:sz="4" w:space="0"/>
              <w:bottom w:val="single" w:color="auto" w:sz="4" w:space="0"/>
              <w:right w:val="single" w:color="auto" w:sz="4" w:space="0"/>
            </w:tcBorders>
            <w:shd w:val="clear" w:color="auto" w:fill="auto"/>
            <w:noWrap/>
            <w:vAlign w:val="bottom"/>
          </w:tcPr>
          <w:p w14:paraId="18A066E9">
            <w:pPr>
              <w:widowControl/>
              <w:suppressAutoHyphens w:val="0"/>
              <w:spacing w:line="240" w:lineRule="auto"/>
              <w:ind w:firstLine="0" w:firstLineChars="0"/>
              <w:jc w:val="center"/>
              <w:rPr>
                <w:rFonts w:cs="宋体"/>
                <w:color w:val="000000"/>
                <w:kern w:val="0"/>
                <w:sz w:val="21"/>
                <w:szCs w:val="21"/>
              </w:rPr>
            </w:pPr>
          </w:p>
        </w:tc>
        <w:tc>
          <w:tcPr>
            <w:tcW w:w="6829" w:type="dxa"/>
            <w:tcBorders>
              <w:top w:val="nil"/>
              <w:left w:val="nil"/>
              <w:bottom w:val="single" w:color="auto" w:sz="4" w:space="0"/>
              <w:right w:val="single" w:color="auto" w:sz="4" w:space="0"/>
            </w:tcBorders>
            <w:shd w:val="clear" w:color="auto" w:fill="auto"/>
            <w:noWrap/>
            <w:vAlign w:val="bottom"/>
          </w:tcPr>
          <w:p w14:paraId="49D6BAB6">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《沈阳市智慧城市总体规划（2016-2020年）》</w:t>
            </w:r>
          </w:p>
        </w:tc>
      </w:tr>
    </w:tbl>
    <w:p w14:paraId="38B8B130">
      <w:pPr>
        <w:pStyle w:val="61"/>
        <w:ind w:firstLine="0"/>
      </w:pPr>
      <w:r>
        <w:rPr>
          <w:rFonts w:hint="eastAsia"/>
        </w:rPr>
        <w:t>（二）相关方案</w:t>
      </w:r>
    </w:p>
    <w:tbl>
      <w:tblPr>
        <w:tblStyle w:val="20"/>
        <w:tblW w:w="0" w:type="auto"/>
        <w:jc w:val="center"/>
        <w:tblLayout w:type="autofit"/>
        <w:tblCellMar>
          <w:top w:w="0" w:type="dxa"/>
          <w:left w:w="108" w:type="dxa"/>
          <w:bottom w:w="0" w:type="dxa"/>
          <w:right w:w="108" w:type="dxa"/>
        </w:tblCellMar>
      </w:tblPr>
      <w:tblGrid>
        <w:gridCol w:w="1059"/>
        <w:gridCol w:w="6813"/>
      </w:tblGrid>
      <w:tr w14:paraId="7EC847B3">
        <w:tblPrEx>
          <w:tblCellMar>
            <w:top w:w="0" w:type="dxa"/>
            <w:left w:w="108" w:type="dxa"/>
            <w:bottom w:w="0" w:type="dxa"/>
            <w:right w:w="108" w:type="dxa"/>
          </w:tblCellMar>
        </w:tblPrEx>
        <w:trPr>
          <w:trHeight w:val="315" w:hRule="atLeast"/>
          <w:jc w:val="center"/>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458040D">
            <w:pPr>
              <w:widowControl/>
              <w:suppressAutoHyphens w:val="0"/>
              <w:spacing w:line="240" w:lineRule="auto"/>
              <w:ind w:firstLine="0" w:firstLineChars="0"/>
              <w:jc w:val="center"/>
              <w:rPr>
                <w:rFonts w:cs="宋体"/>
                <w:b/>
                <w:bCs/>
                <w:color w:val="000000"/>
                <w:kern w:val="0"/>
                <w:sz w:val="21"/>
                <w:szCs w:val="21"/>
              </w:rPr>
            </w:pPr>
            <w:r>
              <w:rPr>
                <w:rFonts w:hint="eastAsia" w:cs="宋体"/>
                <w:b/>
                <w:bCs/>
                <w:color w:val="000000"/>
                <w:kern w:val="0"/>
                <w:sz w:val="21"/>
                <w:szCs w:val="21"/>
              </w:rPr>
              <w:t>层面</w:t>
            </w:r>
          </w:p>
        </w:tc>
        <w:tc>
          <w:tcPr>
            <w:tcW w:w="6813" w:type="dxa"/>
            <w:tcBorders>
              <w:top w:val="single" w:color="auto" w:sz="4" w:space="0"/>
              <w:left w:val="nil"/>
              <w:bottom w:val="single" w:color="auto" w:sz="4" w:space="0"/>
              <w:right w:val="single" w:color="auto" w:sz="4" w:space="0"/>
            </w:tcBorders>
            <w:shd w:val="clear" w:color="auto" w:fill="auto"/>
            <w:noWrap/>
            <w:vAlign w:val="bottom"/>
          </w:tcPr>
          <w:p w14:paraId="466411FA">
            <w:pPr>
              <w:widowControl/>
              <w:suppressAutoHyphens w:val="0"/>
              <w:spacing w:line="240" w:lineRule="auto"/>
              <w:ind w:firstLine="0" w:firstLineChars="0"/>
              <w:jc w:val="center"/>
              <w:rPr>
                <w:rFonts w:cs="宋体"/>
                <w:b/>
                <w:bCs/>
                <w:color w:val="000000"/>
                <w:kern w:val="0"/>
                <w:sz w:val="21"/>
                <w:szCs w:val="21"/>
              </w:rPr>
            </w:pPr>
            <w:r>
              <w:rPr>
                <w:rFonts w:hint="eastAsia" w:cs="宋体"/>
                <w:b/>
                <w:bCs/>
                <w:color w:val="000000"/>
                <w:kern w:val="0"/>
                <w:sz w:val="21"/>
                <w:szCs w:val="21"/>
              </w:rPr>
              <w:t>相关方案</w:t>
            </w:r>
          </w:p>
        </w:tc>
      </w:tr>
      <w:tr w14:paraId="76C01D9D">
        <w:tblPrEx>
          <w:tblCellMar>
            <w:top w:w="0" w:type="dxa"/>
            <w:left w:w="108" w:type="dxa"/>
            <w:bottom w:w="0" w:type="dxa"/>
            <w:right w:w="108" w:type="dxa"/>
          </w:tblCellMar>
        </w:tblPrEx>
        <w:trPr>
          <w:trHeight w:val="64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39CAA089">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国家</w:t>
            </w:r>
          </w:p>
        </w:tc>
        <w:tc>
          <w:tcPr>
            <w:tcW w:w="6813" w:type="dxa"/>
            <w:tcBorders>
              <w:top w:val="nil"/>
              <w:left w:val="nil"/>
              <w:bottom w:val="single" w:color="auto" w:sz="4" w:space="0"/>
              <w:right w:val="single" w:color="auto" w:sz="4" w:space="0"/>
            </w:tcBorders>
            <w:shd w:val="clear" w:color="auto" w:fill="auto"/>
            <w:noWrap/>
            <w:vAlign w:val="bottom"/>
          </w:tcPr>
          <w:p w14:paraId="74D9AE04">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《关于印发绿色建筑创建行动方案的通知》</w:t>
            </w:r>
          </w:p>
        </w:tc>
      </w:tr>
      <w:tr w14:paraId="0E757AC8">
        <w:tblPrEx>
          <w:tblCellMar>
            <w:top w:w="0" w:type="dxa"/>
            <w:left w:w="108" w:type="dxa"/>
            <w:bottom w:w="0" w:type="dxa"/>
            <w:right w:w="108" w:type="dxa"/>
          </w:tblCellMar>
        </w:tblPrEx>
        <w:trPr>
          <w:trHeight w:val="368"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6330E127">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813" w:type="dxa"/>
            <w:tcBorders>
              <w:top w:val="nil"/>
              <w:left w:val="nil"/>
              <w:bottom w:val="single" w:color="auto" w:sz="4" w:space="0"/>
              <w:right w:val="single" w:color="auto" w:sz="4" w:space="0"/>
            </w:tcBorders>
            <w:shd w:val="clear" w:color="auto" w:fill="auto"/>
            <w:noWrap/>
            <w:vAlign w:val="bottom"/>
          </w:tcPr>
          <w:p w14:paraId="482A6D61">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《能源发展战略行动计划（</w:t>
            </w:r>
            <w:r>
              <w:rPr>
                <w:rFonts w:cs="宋体"/>
                <w:color w:val="000000"/>
                <w:kern w:val="0"/>
                <w:sz w:val="21"/>
                <w:szCs w:val="21"/>
              </w:rPr>
              <w:t>2014~2020</w:t>
            </w:r>
            <w:r>
              <w:rPr>
                <w:rFonts w:hint="eastAsia" w:cs="宋体"/>
                <w:color w:val="000000"/>
                <w:kern w:val="0"/>
                <w:sz w:val="21"/>
                <w:szCs w:val="21"/>
              </w:rPr>
              <w:t>年）》</w:t>
            </w:r>
          </w:p>
        </w:tc>
      </w:tr>
      <w:tr w14:paraId="2D2F51EE">
        <w:tblPrEx>
          <w:tblCellMar>
            <w:top w:w="0" w:type="dxa"/>
            <w:left w:w="108" w:type="dxa"/>
            <w:bottom w:w="0" w:type="dxa"/>
            <w:right w:w="108" w:type="dxa"/>
          </w:tblCellMar>
        </w:tblPrEx>
        <w:trPr>
          <w:trHeight w:val="31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630A777D">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813" w:type="dxa"/>
            <w:tcBorders>
              <w:top w:val="nil"/>
              <w:left w:val="nil"/>
              <w:bottom w:val="single" w:color="auto" w:sz="4" w:space="0"/>
              <w:right w:val="single" w:color="auto" w:sz="4" w:space="0"/>
            </w:tcBorders>
            <w:shd w:val="clear" w:color="auto" w:fill="auto"/>
            <w:noWrap/>
            <w:vAlign w:val="bottom"/>
          </w:tcPr>
          <w:p w14:paraId="1B0AAF16">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《绿色建筑行动方案》</w:t>
            </w:r>
          </w:p>
        </w:tc>
      </w:tr>
      <w:tr w14:paraId="15407FF8">
        <w:tblPrEx>
          <w:tblCellMar>
            <w:top w:w="0" w:type="dxa"/>
            <w:left w:w="108" w:type="dxa"/>
            <w:bottom w:w="0" w:type="dxa"/>
            <w:right w:w="108" w:type="dxa"/>
          </w:tblCellMar>
        </w:tblPrEx>
        <w:trPr>
          <w:trHeight w:val="31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4E5A8F57">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辽宁省</w:t>
            </w:r>
          </w:p>
        </w:tc>
        <w:tc>
          <w:tcPr>
            <w:tcW w:w="6813" w:type="dxa"/>
            <w:tcBorders>
              <w:top w:val="nil"/>
              <w:left w:val="nil"/>
              <w:bottom w:val="single" w:color="auto" w:sz="4" w:space="0"/>
              <w:right w:val="single" w:color="auto" w:sz="4" w:space="0"/>
            </w:tcBorders>
            <w:shd w:val="clear" w:color="auto" w:fill="auto"/>
            <w:noWrap/>
            <w:vAlign w:val="bottom"/>
          </w:tcPr>
          <w:p w14:paraId="6588F659">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《辽宁省“十三五”节能减排综合工作实施方案》</w:t>
            </w:r>
          </w:p>
        </w:tc>
      </w:tr>
      <w:tr w14:paraId="301FD7E5">
        <w:tblPrEx>
          <w:tblCellMar>
            <w:top w:w="0" w:type="dxa"/>
            <w:left w:w="108" w:type="dxa"/>
            <w:bottom w:w="0" w:type="dxa"/>
            <w:right w:w="108" w:type="dxa"/>
          </w:tblCellMar>
        </w:tblPrEx>
        <w:trPr>
          <w:trHeight w:val="31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19606A35">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813" w:type="dxa"/>
            <w:tcBorders>
              <w:top w:val="nil"/>
              <w:left w:val="nil"/>
              <w:bottom w:val="single" w:color="auto" w:sz="4" w:space="0"/>
              <w:right w:val="single" w:color="auto" w:sz="4" w:space="0"/>
            </w:tcBorders>
            <w:shd w:val="clear" w:color="auto" w:fill="auto"/>
            <w:noWrap/>
            <w:vAlign w:val="bottom"/>
          </w:tcPr>
          <w:p w14:paraId="1FA90F10">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《辽宁省人民政府关于印发健康辽宁行动实施方案的通知》</w:t>
            </w:r>
          </w:p>
        </w:tc>
      </w:tr>
      <w:tr w14:paraId="00FA594F">
        <w:tblPrEx>
          <w:tblCellMar>
            <w:top w:w="0" w:type="dxa"/>
            <w:left w:w="108" w:type="dxa"/>
            <w:bottom w:w="0" w:type="dxa"/>
            <w:right w:w="108" w:type="dxa"/>
          </w:tblCellMar>
        </w:tblPrEx>
        <w:trPr>
          <w:trHeight w:val="31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56942FD3">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w:t>
            </w:r>
          </w:p>
        </w:tc>
        <w:tc>
          <w:tcPr>
            <w:tcW w:w="6813" w:type="dxa"/>
            <w:tcBorders>
              <w:top w:val="nil"/>
              <w:left w:val="nil"/>
              <w:bottom w:val="single" w:color="auto" w:sz="4" w:space="0"/>
              <w:right w:val="single" w:color="auto" w:sz="4" w:space="0"/>
            </w:tcBorders>
            <w:shd w:val="clear" w:color="auto" w:fill="auto"/>
            <w:noWrap/>
            <w:vAlign w:val="bottom"/>
          </w:tcPr>
          <w:p w14:paraId="18526287">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《沈阳市促进建筑业持续健康发展方案》</w:t>
            </w:r>
          </w:p>
        </w:tc>
      </w:tr>
      <w:tr w14:paraId="110465DB">
        <w:tblPrEx>
          <w:tblCellMar>
            <w:top w:w="0" w:type="dxa"/>
            <w:left w:w="108" w:type="dxa"/>
            <w:bottom w:w="0" w:type="dxa"/>
            <w:right w:w="108" w:type="dxa"/>
          </w:tblCellMar>
        </w:tblPrEx>
        <w:trPr>
          <w:trHeight w:val="31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167687E4">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813" w:type="dxa"/>
            <w:tcBorders>
              <w:top w:val="nil"/>
              <w:left w:val="nil"/>
              <w:bottom w:val="single" w:color="auto" w:sz="4" w:space="0"/>
              <w:right w:val="single" w:color="auto" w:sz="4" w:space="0"/>
            </w:tcBorders>
            <w:shd w:val="clear" w:color="auto" w:fill="auto"/>
            <w:noWrap/>
            <w:vAlign w:val="bottom"/>
          </w:tcPr>
          <w:p w14:paraId="6E071707">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《健康沈阳行动实施方案》</w:t>
            </w:r>
          </w:p>
        </w:tc>
      </w:tr>
      <w:tr w14:paraId="70C456AA">
        <w:tblPrEx>
          <w:tblCellMar>
            <w:top w:w="0" w:type="dxa"/>
            <w:left w:w="108" w:type="dxa"/>
            <w:bottom w:w="0" w:type="dxa"/>
            <w:right w:w="108" w:type="dxa"/>
          </w:tblCellMar>
        </w:tblPrEx>
        <w:trPr>
          <w:trHeight w:val="31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79F59B28">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813" w:type="dxa"/>
            <w:tcBorders>
              <w:top w:val="nil"/>
              <w:left w:val="nil"/>
              <w:bottom w:val="single" w:color="auto" w:sz="4" w:space="0"/>
              <w:right w:val="single" w:color="auto" w:sz="4" w:space="0"/>
            </w:tcBorders>
            <w:shd w:val="clear" w:color="auto" w:fill="auto"/>
            <w:noWrap/>
            <w:vAlign w:val="bottom"/>
          </w:tcPr>
          <w:p w14:paraId="3967F5E1">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《沈阳市“中国制造2025”实施方案》</w:t>
            </w:r>
          </w:p>
        </w:tc>
      </w:tr>
      <w:tr w14:paraId="489E32A0">
        <w:tblPrEx>
          <w:tblCellMar>
            <w:top w:w="0" w:type="dxa"/>
            <w:left w:w="108" w:type="dxa"/>
            <w:bottom w:w="0" w:type="dxa"/>
            <w:right w:w="108" w:type="dxa"/>
          </w:tblCellMar>
        </w:tblPrEx>
        <w:trPr>
          <w:trHeight w:val="31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0F9811B8">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813" w:type="dxa"/>
            <w:tcBorders>
              <w:top w:val="nil"/>
              <w:left w:val="nil"/>
              <w:bottom w:val="single" w:color="auto" w:sz="4" w:space="0"/>
              <w:right w:val="single" w:color="auto" w:sz="4" w:space="0"/>
            </w:tcBorders>
            <w:shd w:val="clear" w:color="auto" w:fill="auto"/>
            <w:noWrap/>
            <w:vAlign w:val="bottom"/>
          </w:tcPr>
          <w:p w14:paraId="42CA58E2">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《沈阳市加快推进国家循环经济示范城市建设工作方案》</w:t>
            </w:r>
          </w:p>
        </w:tc>
      </w:tr>
      <w:tr w14:paraId="7E178276">
        <w:tblPrEx>
          <w:tblCellMar>
            <w:top w:w="0" w:type="dxa"/>
            <w:left w:w="108" w:type="dxa"/>
            <w:bottom w:w="0" w:type="dxa"/>
            <w:right w:w="108" w:type="dxa"/>
          </w:tblCellMar>
        </w:tblPrEx>
        <w:trPr>
          <w:trHeight w:val="31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2A7B3C44">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813" w:type="dxa"/>
            <w:tcBorders>
              <w:top w:val="nil"/>
              <w:left w:val="nil"/>
              <w:bottom w:val="single" w:color="auto" w:sz="4" w:space="0"/>
              <w:right w:val="single" w:color="auto" w:sz="4" w:space="0"/>
            </w:tcBorders>
            <w:shd w:val="clear" w:color="auto" w:fill="auto"/>
            <w:noWrap/>
            <w:vAlign w:val="bottom"/>
          </w:tcPr>
          <w:p w14:paraId="5518ED35">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《沈阳市建设国家标准化改革创新先行区实施方案》</w:t>
            </w:r>
          </w:p>
        </w:tc>
      </w:tr>
      <w:tr w14:paraId="1CA62E88">
        <w:tblPrEx>
          <w:tblCellMar>
            <w:top w:w="0" w:type="dxa"/>
            <w:left w:w="108" w:type="dxa"/>
            <w:bottom w:w="0" w:type="dxa"/>
            <w:right w:w="108" w:type="dxa"/>
          </w:tblCellMar>
        </w:tblPrEx>
        <w:trPr>
          <w:trHeight w:val="31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564786D7">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813" w:type="dxa"/>
            <w:tcBorders>
              <w:top w:val="nil"/>
              <w:left w:val="nil"/>
              <w:bottom w:val="single" w:color="auto" w:sz="4" w:space="0"/>
              <w:right w:val="single" w:color="auto" w:sz="4" w:space="0"/>
            </w:tcBorders>
            <w:shd w:val="clear" w:color="auto" w:fill="auto"/>
            <w:noWrap/>
            <w:vAlign w:val="bottom"/>
          </w:tcPr>
          <w:p w14:paraId="2E2F6615">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《沈阳市开展质量提升行动的实施方案》</w:t>
            </w:r>
          </w:p>
        </w:tc>
      </w:tr>
      <w:tr w14:paraId="42F501BE">
        <w:tblPrEx>
          <w:tblCellMar>
            <w:top w:w="0" w:type="dxa"/>
            <w:left w:w="108" w:type="dxa"/>
            <w:bottom w:w="0" w:type="dxa"/>
            <w:right w:w="108" w:type="dxa"/>
          </w:tblCellMar>
        </w:tblPrEx>
        <w:trPr>
          <w:trHeight w:val="31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0C68FDA3">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813" w:type="dxa"/>
            <w:tcBorders>
              <w:top w:val="nil"/>
              <w:left w:val="nil"/>
              <w:bottom w:val="single" w:color="auto" w:sz="4" w:space="0"/>
              <w:right w:val="single" w:color="auto" w:sz="4" w:space="0"/>
            </w:tcBorders>
            <w:shd w:val="clear" w:color="auto" w:fill="auto"/>
            <w:noWrap/>
            <w:vAlign w:val="bottom"/>
          </w:tcPr>
          <w:p w14:paraId="73F8070F">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《沈阳市5G产业发展方案（2020-2021年）》</w:t>
            </w:r>
          </w:p>
        </w:tc>
      </w:tr>
      <w:tr w14:paraId="3853FDDD">
        <w:tblPrEx>
          <w:tblCellMar>
            <w:top w:w="0" w:type="dxa"/>
            <w:left w:w="108" w:type="dxa"/>
            <w:bottom w:w="0" w:type="dxa"/>
            <w:right w:w="108" w:type="dxa"/>
          </w:tblCellMar>
        </w:tblPrEx>
        <w:trPr>
          <w:trHeight w:val="315"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10DD2CC6">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813" w:type="dxa"/>
            <w:tcBorders>
              <w:top w:val="nil"/>
              <w:left w:val="nil"/>
              <w:bottom w:val="single" w:color="auto" w:sz="4" w:space="0"/>
              <w:right w:val="single" w:color="auto" w:sz="4" w:space="0"/>
            </w:tcBorders>
            <w:shd w:val="clear" w:color="auto" w:fill="auto"/>
            <w:noWrap/>
            <w:vAlign w:val="bottom"/>
          </w:tcPr>
          <w:p w14:paraId="408318FF">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《贯彻落实〈新时代公民道德建设实施纲要〉实施方案》</w:t>
            </w:r>
          </w:p>
        </w:tc>
      </w:tr>
      <w:tr w14:paraId="1562EA3A">
        <w:tblPrEx>
          <w:tblCellMar>
            <w:top w:w="0" w:type="dxa"/>
            <w:left w:w="108" w:type="dxa"/>
            <w:bottom w:w="0" w:type="dxa"/>
            <w:right w:w="108" w:type="dxa"/>
          </w:tblCellMar>
        </w:tblPrEx>
        <w:trPr>
          <w:trHeight w:val="383" w:hRule="atLeast"/>
          <w:jc w:val="center"/>
        </w:trPr>
        <w:tc>
          <w:tcPr>
            <w:tcW w:w="1059" w:type="dxa"/>
            <w:tcBorders>
              <w:top w:val="nil"/>
              <w:left w:val="single" w:color="auto" w:sz="4" w:space="0"/>
              <w:bottom w:val="single" w:color="auto" w:sz="4" w:space="0"/>
              <w:right w:val="single" w:color="auto" w:sz="4" w:space="0"/>
            </w:tcBorders>
            <w:shd w:val="clear" w:color="auto" w:fill="auto"/>
            <w:noWrap/>
            <w:vAlign w:val="bottom"/>
          </w:tcPr>
          <w:p w14:paraId="6A9D79A2">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813" w:type="dxa"/>
            <w:tcBorders>
              <w:top w:val="nil"/>
              <w:left w:val="nil"/>
              <w:bottom w:val="single" w:color="auto" w:sz="4" w:space="0"/>
              <w:right w:val="single" w:color="auto" w:sz="4" w:space="0"/>
            </w:tcBorders>
            <w:shd w:val="clear" w:color="auto" w:fill="auto"/>
            <w:noWrap/>
            <w:vAlign w:val="bottom"/>
          </w:tcPr>
          <w:p w14:paraId="293F395A">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《沈阳居民小区改造提质三年行动计划</w:t>
            </w:r>
            <w:r>
              <w:rPr>
                <w:rFonts w:cs="宋体"/>
                <w:color w:val="000000"/>
                <w:kern w:val="0"/>
                <w:sz w:val="21"/>
                <w:szCs w:val="21"/>
              </w:rPr>
              <w:t>2018-2020</w:t>
            </w:r>
            <w:r>
              <w:rPr>
                <w:rFonts w:hint="eastAsia" w:cs="宋体"/>
                <w:color w:val="000000"/>
                <w:kern w:val="0"/>
                <w:sz w:val="21"/>
                <w:szCs w:val="21"/>
              </w:rPr>
              <w:t>年》</w:t>
            </w:r>
          </w:p>
        </w:tc>
      </w:tr>
    </w:tbl>
    <w:p w14:paraId="0816DE0E">
      <w:pPr>
        <w:pStyle w:val="61"/>
        <w:ind w:firstLine="0"/>
      </w:pPr>
      <w:r>
        <w:rPr>
          <w:rFonts w:hint="eastAsia"/>
        </w:rPr>
        <w:t>（三）相关标准</w:t>
      </w:r>
    </w:p>
    <w:tbl>
      <w:tblPr>
        <w:tblStyle w:val="20"/>
        <w:tblW w:w="0" w:type="auto"/>
        <w:jc w:val="center"/>
        <w:tblLayout w:type="autofit"/>
        <w:tblCellMar>
          <w:top w:w="0" w:type="dxa"/>
          <w:left w:w="108" w:type="dxa"/>
          <w:bottom w:w="0" w:type="dxa"/>
          <w:right w:w="108" w:type="dxa"/>
        </w:tblCellMar>
      </w:tblPr>
      <w:tblGrid>
        <w:gridCol w:w="1113"/>
        <w:gridCol w:w="6447"/>
      </w:tblGrid>
      <w:tr w14:paraId="3DE2FB33">
        <w:tblPrEx>
          <w:tblCellMar>
            <w:top w:w="0" w:type="dxa"/>
            <w:left w:w="108" w:type="dxa"/>
            <w:bottom w:w="0" w:type="dxa"/>
            <w:right w:w="108" w:type="dxa"/>
          </w:tblCellMar>
        </w:tblPrEx>
        <w:trPr>
          <w:trHeight w:val="315" w:hRule="atLeast"/>
          <w:jc w:val="center"/>
        </w:trPr>
        <w:tc>
          <w:tcPr>
            <w:tcW w:w="111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F3BC71">
            <w:pPr>
              <w:widowControl/>
              <w:suppressAutoHyphens w:val="0"/>
              <w:spacing w:line="240" w:lineRule="auto"/>
              <w:ind w:firstLine="0" w:firstLineChars="0"/>
              <w:jc w:val="center"/>
              <w:rPr>
                <w:rFonts w:cs="宋体"/>
                <w:b/>
                <w:bCs/>
                <w:color w:val="000000"/>
                <w:kern w:val="0"/>
                <w:sz w:val="21"/>
                <w:szCs w:val="21"/>
              </w:rPr>
            </w:pPr>
            <w:r>
              <w:rPr>
                <w:rFonts w:hint="eastAsia" w:cs="宋体"/>
                <w:b/>
                <w:bCs/>
                <w:color w:val="000000"/>
                <w:kern w:val="0"/>
                <w:sz w:val="21"/>
                <w:szCs w:val="21"/>
              </w:rPr>
              <w:t>层面</w:t>
            </w:r>
          </w:p>
        </w:tc>
        <w:tc>
          <w:tcPr>
            <w:tcW w:w="6447" w:type="dxa"/>
            <w:tcBorders>
              <w:top w:val="single" w:color="auto" w:sz="4" w:space="0"/>
              <w:left w:val="nil"/>
              <w:bottom w:val="single" w:color="auto" w:sz="4" w:space="0"/>
              <w:right w:val="single" w:color="auto" w:sz="4" w:space="0"/>
            </w:tcBorders>
            <w:shd w:val="clear" w:color="auto" w:fill="auto"/>
            <w:noWrap/>
            <w:vAlign w:val="bottom"/>
          </w:tcPr>
          <w:p w14:paraId="22570BCD">
            <w:pPr>
              <w:widowControl/>
              <w:suppressAutoHyphens w:val="0"/>
              <w:spacing w:line="240" w:lineRule="auto"/>
              <w:ind w:firstLine="0" w:firstLineChars="0"/>
              <w:jc w:val="center"/>
              <w:rPr>
                <w:rFonts w:cs="宋体"/>
                <w:b/>
                <w:bCs/>
                <w:color w:val="000000"/>
                <w:kern w:val="0"/>
                <w:sz w:val="21"/>
                <w:szCs w:val="21"/>
              </w:rPr>
            </w:pPr>
            <w:r>
              <w:rPr>
                <w:rFonts w:hint="eastAsia" w:cs="宋体"/>
                <w:b/>
                <w:bCs/>
                <w:color w:val="000000"/>
                <w:kern w:val="0"/>
                <w:sz w:val="21"/>
                <w:szCs w:val="21"/>
              </w:rPr>
              <w:t>相关标准</w:t>
            </w:r>
          </w:p>
        </w:tc>
      </w:tr>
      <w:tr w14:paraId="7DACA080">
        <w:tblPrEx>
          <w:tblCellMar>
            <w:top w:w="0" w:type="dxa"/>
            <w:left w:w="108" w:type="dxa"/>
            <w:bottom w:w="0" w:type="dxa"/>
            <w:right w:w="108" w:type="dxa"/>
          </w:tblCellMar>
        </w:tblPrEx>
        <w:trPr>
          <w:trHeight w:val="645"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544C0B5C">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国家</w:t>
            </w:r>
          </w:p>
        </w:tc>
        <w:tc>
          <w:tcPr>
            <w:tcW w:w="6447" w:type="dxa"/>
            <w:tcBorders>
              <w:top w:val="nil"/>
              <w:left w:val="nil"/>
              <w:bottom w:val="single" w:color="auto" w:sz="4" w:space="0"/>
              <w:right w:val="single" w:color="auto" w:sz="4" w:space="0"/>
            </w:tcBorders>
            <w:shd w:val="clear" w:color="auto" w:fill="auto"/>
            <w:noWrap/>
            <w:vAlign w:val="bottom"/>
          </w:tcPr>
          <w:p w14:paraId="2BCDF0B3">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《公共建筑节能设计标准》</w:t>
            </w:r>
          </w:p>
        </w:tc>
      </w:tr>
      <w:tr w14:paraId="5D03558E">
        <w:tblPrEx>
          <w:tblCellMar>
            <w:top w:w="0" w:type="dxa"/>
            <w:left w:w="108" w:type="dxa"/>
            <w:bottom w:w="0" w:type="dxa"/>
            <w:right w:w="108" w:type="dxa"/>
          </w:tblCellMar>
        </w:tblPrEx>
        <w:trPr>
          <w:trHeight w:val="368"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5D4BD094">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18728B93">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《严寒和寒冷地区居住建筑节能设计标准》</w:t>
            </w:r>
          </w:p>
        </w:tc>
      </w:tr>
      <w:tr w14:paraId="6CD6D1ED">
        <w:tblPrEx>
          <w:tblCellMar>
            <w:top w:w="0" w:type="dxa"/>
            <w:left w:w="108" w:type="dxa"/>
            <w:bottom w:w="0" w:type="dxa"/>
            <w:right w:w="108" w:type="dxa"/>
          </w:tblCellMar>
        </w:tblPrEx>
        <w:trPr>
          <w:trHeight w:val="368"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043D8254">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3D338D0F">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《绿色建筑评价标准》</w:t>
            </w:r>
          </w:p>
        </w:tc>
      </w:tr>
      <w:tr w14:paraId="7304DC74">
        <w:tblPrEx>
          <w:tblCellMar>
            <w:top w:w="0" w:type="dxa"/>
            <w:left w:w="108" w:type="dxa"/>
            <w:bottom w:w="0" w:type="dxa"/>
            <w:right w:w="108" w:type="dxa"/>
          </w:tblCellMar>
        </w:tblPrEx>
        <w:trPr>
          <w:trHeight w:val="368"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4E5889C9">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6C9E4FFC">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《装配式建筑评价标准》</w:t>
            </w:r>
          </w:p>
        </w:tc>
      </w:tr>
      <w:tr w14:paraId="4DDB150B">
        <w:tblPrEx>
          <w:tblCellMar>
            <w:top w:w="0" w:type="dxa"/>
            <w:left w:w="108" w:type="dxa"/>
            <w:bottom w:w="0" w:type="dxa"/>
            <w:right w:w="108" w:type="dxa"/>
          </w:tblCellMar>
        </w:tblPrEx>
        <w:trPr>
          <w:trHeight w:val="368"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5777EB84">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22E2A170">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《既有建筑绿色改造评价标准》</w:t>
            </w:r>
          </w:p>
        </w:tc>
      </w:tr>
      <w:tr w14:paraId="7704FFE1">
        <w:tblPrEx>
          <w:tblCellMar>
            <w:top w:w="0" w:type="dxa"/>
            <w:left w:w="108" w:type="dxa"/>
            <w:bottom w:w="0" w:type="dxa"/>
            <w:right w:w="108" w:type="dxa"/>
          </w:tblCellMar>
        </w:tblPrEx>
        <w:trPr>
          <w:trHeight w:val="368"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4B12A35C">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3F624D41">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《绿色生态城区评价标准》</w:t>
            </w:r>
          </w:p>
        </w:tc>
      </w:tr>
      <w:tr w14:paraId="0627D1D3">
        <w:tblPrEx>
          <w:tblCellMar>
            <w:top w:w="0" w:type="dxa"/>
            <w:left w:w="108" w:type="dxa"/>
            <w:bottom w:w="0" w:type="dxa"/>
            <w:right w:w="108" w:type="dxa"/>
          </w:tblCellMar>
        </w:tblPrEx>
        <w:trPr>
          <w:trHeight w:val="315"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1CD2A361">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辽宁省</w:t>
            </w:r>
          </w:p>
        </w:tc>
        <w:tc>
          <w:tcPr>
            <w:tcW w:w="6447" w:type="dxa"/>
            <w:tcBorders>
              <w:top w:val="nil"/>
              <w:left w:val="nil"/>
              <w:bottom w:val="single" w:color="auto" w:sz="4" w:space="0"/>
              <w:right w:val="single" w:color="auto" w:sz="4" w:space="0"/>
            </w:tcBorders>
            <w:shd w:val="clear" w:color="auto" w:fill="auto"/>
            <w:noWrap/>
            <w:vAlign w:val="bottom"/>
          </w:tcPr>
          <w:p w14:paraId="2B571E3A">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《辽宁省绿色建筑条例》</w:t>
            </w:r>
          </w:p>
        </w:tc>
      </w:tr>
      <w:tr w14:paraId="7CD99BA8">
        <w:tblPrEx>
          <w:tblCellMar>
            <w:top w:w="0" w:type="dxa"/>
            <w:left w:w="108" w:type="dxa"/>
            <w:bottom w:w="0" w:type="dxa"/>
            <w:right w:w="108" w:type="dxa"/>
          </w:tblCellMar>
        </w:tblPrEx>
        <w:trPr>
          <w:trHeight w:val="315"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45B20281">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w:t>
            </w:r>
          </w:p>
        </w:tc>
        <w:tc>
          <w:tcPr>
            <w:tcW w:w="6447" w:type="dxa"/>
            <w:tcBorders>
              <w:top w:val="nil"/>
              <w:left w:val="nil"/>
              <w:bottom w:val="single" w:color="auto" w:sz="4" w:space="0"/>
              <w:right w:val="single" w:color="auto" w:sz="4" w:space="0"/>
            </w:tcBorders>
            <w:shd w:val="clear" w:color="auto" w:fill="auto"/>
            <w:noWrap/>
            <w:vAlign w:val="bottom"/>
          </w:tcPr>
          <w:p w14:paraId="2DCD694E">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《沈阳市海绵城市建设管理办法》</w:t>
            </w:r>
          </w:p>
        </w:tc>
      </w:tr>
      <w:tr w14:paraId="3FB58415">
        <w:tblPrEx>
          <w:tblCellMar>
            <w:top w:w="0" w:type="dxa"/>
            <w:left w:w="108" w:type="dxa"/>
            <w:bottom w:w="0" w:type="dxa"/>
            <w:right w:w="108" w:type="dxa"/>
          </w:tblCellMar>
        </w:tblPrEx>
        <w:trPr>
          <w:trHeight w:val="315"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35C143F7">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5E11F4E9">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《沈阳市公共建筑绿色设计标准》</w:t>
            </w:r>
          </w:p>
        </w:tc>
      </w:tr>
      <w:tr w14:paraId="17CA4837">
        <w:tblPrEx>
          <w:tblCellMar>
            <w:top w:w="0" w:type="dxa"/>
            <w:left w:w="108" w:type="dxa"/>
            <w:bottom w:w="0" w:type="dxa"/>
            <w:right w:w="108" w:type="dxa"/>
          </w:tblCellMar>
        </w:tblPrEx>
        <w:trPr>
          <w:trHeight w:val="315"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1CEDDAF3">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4F33FB0A">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《沈阳市工业建筑节能设计标准》</w:t>
            </w:r>
          </w:p>
        </w:tc>
      </w:tr>
      <w:tr w14:paraId="22104E23">
        <w:tblPrEx>
          <w:tblCellMar>
            <w:top w:w="0" w:type="dxa"/>
            <w:left w:w="108" w:type="dxa"/>
            <w:bottom w:w="0" w:type="dxa"/>
            <w:right w:w="108" w:type="dxa"/>
          </w:tblCellMar>
        </w:tblPrEx>
        <w:trPr>
          <w:trHeight w:val="315"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181BAB80">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452061C0">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《沈阳市住宅建筑绿色设计标准》</w:t>
            </w:r>
          </w:p>
        </w:tc>
      </w:tr>
      <w:tr w14:paraId="6C64A537">
        <w:tblPrEx>
          <w:tblCellMar>
            <w:top w:w="0" w:type="dxa"/>
            <w:left w:w="108" w:type="dxa"/>
            <w:bottom w:w="0" w:type="dxa"/>
            <w:right w:w="108" w:type="dxa"/>
          </w:tblCellMar>
        </w:tblPrEx>
        <w:trPr>
          <w:trHeight w:val="315"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136DBB5A">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5C401890">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《沈阳市建筑节能外墙外保温系统标准应用技术指南》</w:t>
            </w:r>
          </w:p>
        </w:tc>
      </w:tr>
      <w:tr w14:paraId="555B9906">
        <w:tblPrEx>
          <w:tblCellMar>
            <w:top w:w="0" w:type="dxa"/>
            <w:left w:w="108" w:type="dxa"/>
            <w:bottom w:w="0" w:type="dxa"/>
            <w:right w:w="108" w:type="dxa"/>
          </w:tblCellMar>
        </w:tblPrEx>
        <w:trPr>
          <w:trHeight w:val="315"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22533983">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3CD63229">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《绿色建筑设计施工图审查要点》</w:t>
            </w:r>
          </w:p>
        </w:tc>
      </w:tr>
      <w:tr w14:paraId="7B366C88">
        <w:tblPrEx>
          <w:tblCellMar>
            <w:top w:w="0" w:type="dxa"/>
            <w:left w:w="108" w:type="dxa"/>
            <w:bottom w:w="0" w:type="dxa"/>
            <w:right w:w="108" w:type="dxa"/>
          </w:tblCellMar>
        </w:tblPrEx>
        <w:trPr>
          <w:trHeight w:val="315"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3FA57526">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38EB69B4">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《沈阳市民用建筑节能设计文件编制深度规定》</w:t>
            </w:r>
          </w:p>
        </w:tc>
      </w:tr>
      <w:tr w14:paraId="4C156095">
        <w:tblPrEx>
          <w:tblCellMar>
            <w:top w:w="0" w:type="dxa"/>
            <w:left w:w="108" w:type="dxa"/>
            <w:bottom w:w="0" w:type="dxa"/>
            <w:right w:w="108" w:type="dxa"/>
          </w:tblCellMar>
        </w:tblPrEx>
        <w:trPr>
          <w:trHeight w:val="383"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2272A1E8">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4D8A0CC4">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《沈阳市绿色建筑设计施工图审查技术要求（试行）》</w:t>
            </w:r>
          </w:p>
        </w:tc>
      </w:tr>
      <w:tr w14:paraId="4763E32A">
        <w:tblPrEx>
          <w:tblCellMar>
            <w:top w:w="0" w:type="dxa"/>
            <w:left w:w="108" w:type="dxa"/>
            <w:bottom w:w="0" w:type="dxa"/>
            <w:right w:w="108" w:type="dxa"/>
          </w:tblCellMar>
        </w:tblPrEx>
        <w:trPr>
          <w:trHeight w:val="353" w:hRule="atLeast"/>
          <w:jc w:val="center"/>
        </w:trPr>
        <w:tc>
          <w:tcPr>
            <w:tcW w:w="1113" w:type="dxa"/>
            <w:tcBorders>
              <w:top w:val="nil"/>
              <w:left w:val="single" w:color="auto" w:sz="4" w:space="0"/>
              <w:bottom w:val="single" w:color="auto" w:sz="4" w:space="0"/>
              <w:right w:val="single" w:color="auto" w:sz="4" w:space="0"/>
            </w:tcBorders>
            <w:shd w:val="clear" w:color="auto" w:fill="auto"/>
            <w:noWrap/>
            <w:vAlign w:val="bottom"/>
          </w:tcPr>
          <w:p w14:paraId="561C841E">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　</w:t>
            </w:r>
          </w:p>
        </w:tc>
        <w:tc>
          <w:tcPr>
            <w:tcW w:w="6447" w:type="dxa"/>
            <w:tcBorders>
              <w:top w:val="nil"/>
              <w:left w:val="nil"/>
              <w:bottom w:val="single" w:color="auto" w:sz="4" w:space="0"/>
              <w:right w:val="single" w:color="auto" w:sz="4" w:space="0"/>
            </w:tcBorders>
            <w:shd w:val="clear" w:color="auto" w:fill="auto"/>
            <w:noWrap/>
            <w:vAlign w:val="bottom"/>
          </w:tcPr>
          <w:p w14:paraId="70D0FD3F">
            <w:pPr>
              <w:widowControl/>
              <w:suppressAutoHyphens w:val="0"/>
              <w:spacing w:line="240" w:lineRule="auto"/>
              <w:ind w:firstLine="0" w:firstLineChars="0"/>
              <w:jc w:val="left"/>
              <w:rPr>
                <w:rFonts w:cs="宋体"/>
                <w:color w:val="000000"/>
                <w:kern w:val="0"/>
                <w:sz w:val="21"/>
                <w:szCs w:val="21"/>
              </w:rPr>
            </w:pPr>
            <w:r>
              <w:rPr>
                <w:rFonts w:hint="eastAsia" w:cs="宋体"/>
                <w:color w:val="000000"/>
                <w:kern w:val="0"/>
                <w:sz w:val="21"/>
                <w:szCs w:val="21"/>
              </w:rPr>
              <w:t>《沈阳市绿色建筑评价标准》</w:t>
            </w:r>
          </w:p>
        </w:tc>
      </w:tr>
    </w:tbl>
    <w:p w14:paraId="7BD9AB03">
      <w:pPr>
        <w:pStyle w:val="61"/>
        <w:ind w:firstLine="0"/>
      </w:pPr>
      <w:r>
        <w:rPr>
          <w:rFonts w:hint="eastAsia"/>
        </w:rPr>
        <w:t>（四）相关文件</w:t>
      </w:r>
    </w:p>
    <w:tbl>
      <w:tblPr>
        <w:tblStyle w:val="20"/>
        <w:tblW w:w="0" w:type="auto"/>
        <w:jc w:val="center"/>
        <w:tblLayout w:type="autofit"/>
        <w:tblCellMar>
          <w:top w:w="0" w:type="dxa"/>
          <w:left w:w="108" w:type="dxa"/>
          <w:bottom w:w="0" w:type="dxa"/>
          <w:right w:w="108" w:type="dxa"/>
        </w:tblCellMar>
      </w:tblPr>
      <w:tblGrid>
        <w:gridCol w:w="1036"/>
        <w:gridCol w:w="6506"/>
      </w:tblGrid>
      <w:tr w14:paraId="75DF88C2">
        <w:tblPrEx>
          <w:tblCellMar>
            <w:top w:w="0" w:type="dxa"/>
            <w:left w:w="108" w:type="dxa"/>
            <w:bottom w:w="0" w:type="dxa"/>
            <w:right w:w="108" w:type="dxa"/>
          </w:tblCellMar>
        </w:tblPrEx>
        <w:trPr>
          <w:trHeight w:val="315"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A00B4">
            <w:pPr>
              <w:widowControl/>
              <w:suppressAutoHyphens w:val="0"/>
              <w:spacing w:line="240" w:lineRule="auto"/>
              <w:ind w:firstLine="0" w:firstLineChars="0"/>
              <w:jc w:val="center"/>
              <w:rPr>
                <w:rFonts w:cs="宋体"/>
                <w:b/>
                <w:bCs/>
                <w:color w:val="000000"/>
                <w:kern w:val="0"/>
                <w:sz w:val="21"/>
                <w:szCs w:val="21"/>
              </w:rPr>
            </w:pPr>
            <w:r>
              <w:rPr>
                <w:rFonts w:hint="eastAsia" w:cs="宋体"/>
                <w:b/>
                <w:bCs/>
                <w:color w:val="000000"/>
                <w:kern w:val="0"/>
                <w:sz w:val="21"/>
                <w:szCs w:val="21"/>
              </w:rPr>
              <w:t>层面</w:t>
            </w:r>
          </w:p>
        </w:tc>
        <w:tc>
          <w:tcPr>
            <w:tcW w:w="6506" w:type="dxa"/>
            <w:tcBorders>
              <w:top w:val="single" w:color="auto" w:sz="4" w:space="0"/>
              <w:left w:val="nil"/>
              <w:bottom w:val="single" w:color="auto" w:sz="4" w:space="0"/>
              <w:right w:val="single" w:color="auto" w:sz="4" w:space="0"/>
            </w:tcBorders>
            <w:shd w:val="clear" w:color="auto" w:fill="auto"/>
            <w:noWrap/>
            <w:vAlign w:val="center"/>
          </w:tcPr>
          <w:p w14:paraId="1E70E339">
            <w:pPr>
              <w:widowControl/>
              <w:suppressAutoHyphens w:val="0"/>
              <w:spacing w:line="240" w:lineRule="auto"/>
              <w:ind w:firstLine="0" w:firstLineChars="0"/>
              <w:jc w:val="center"/>
              <w:rPr>
                <w:rFonts w:cs="宋体"/>
                <w:b/>
                <w:bCs/>
                <w:color w:val="000000"/>
                <w:kern w:val="0"/>
                <w:sz w:val="21"/>
                <w:szCs w:val="21"/>
              </w:rPr>
            </w:pPr>
            <w:r>
              <w:rPr>
                <w:rFonts w:hint="eastAsia" w:cs="宋体"/>
                <w:b/>
                <w:bCs/>
                <w:color w:val="000000"/>
                <w:kern w:val="0"/>
                <w:sz w:val="21"/>
                <w:szCs w:val="21"/>
              </w:rPr>
              <w:t>相关文件</w:t>
            </w:r>
          </w:p>
        </w:tc>
      </w:tr>
      <w:tr w14:paraId="16DA37BF">
        <w:tblPrEx>
          <w:tblCellMar>
            <w:top w:w="0" w:type="dxa"/>
            <w:left w:w="108" w:type="dxa"/>
            <w:bottom w:w="0" w:type="dxa"/>
            <w:right w:w="108" w:type="dxa"/>
          </w:tblCellMar>
        </w:tblPrEx>
        <w:trPr>
          <w:trHeight w:val="645"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7983F422">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国家</w:t>
            </w:r>
          </w:p>
        </w:tc>
        <w:tc>
          <w:tcPr>
            <w:tcW w:w="6506" w:type="dxa"/>
            <w:tcBorders>
              <w:top w:val="nil"/>
              <w:left w:val="nil"/>
              <w:bottom w:val="single" w:color="auto" w:sz="4" w:space="0"/>
              <w:right w:val="single" w:color="auto" w:sz="4" w:space="0"/>
            </w:tcBorders>
            <w:shd w:val="clear" w:color="auto" w:fill="auto"/>
            <w:noWrap/>
            <w:vAlign w:val="center"/>
          </w:tcPr>
          <w:p w14:paraId="30273D43">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《中共中央</w:t>
            </w:r>
            <w:r>
              <w:rPr>
                <w:color w:val="000000"/>
                <w:kern w:val="0"/>
                <w:sz w:val="21"/>
                <w:szCs w:val="21"/>
              </w:rPr>
              <w:t xml:space="preserve"> </w:t>
            </w:r>
            <w:r>
              <w:rPr>
                <w:rFonts w:hint="eastAsia" w:cs="宋体"/>
                <w:color w:val="000000"/>
                <w:kern w:val="0"/>
                <w:sz w:val="21"/>
                <w:szCs w:val="21"/>
              </w:rPr>
              <w:t>国务院</w:t>
            </w:r>
            <w:r>
              <w:rPr>
                <w:color w:val="000000"/>
                <w:kern w:val="0"/>
                <w:sz w:val="21"/>
                <w:szCs w:val="21"/>
              </w:rPr>
              <w:t xml:space="preserve"> </w:t>
            </w:r>
            <w:r>
              <w:rPr>
                <w:rFonts w:hint="eastAsia" w:cs="宋体"/>
                <w:color w:val="000000"/>
                <w:kern w:val="0"/>
                <w:sz w:val="21"/>
                <w:szCs w:val="21"/>
              </w:rPr>
              <w:t>关于全面加强生态环境保护</w:t>
            </w:r>
            <w:r>
              <w:rPr>
                <w:color w:val="000000"/>
                <w:kern w:val="0"/>
                <w:sz w:val="21"/>
                <w:szCs w:val="21"/>
              </w:rPr>
              <w:t xml:space="preserve"> </w:t>
            </w:r>
            <w:r>
              <w:rPr>
                <w:rFonts w:hint="eastAsia" w:cs="宋体"/>
                <w:color w:val="000000"/>
                <w:kern w:val="0"/>
                <w:sz w:val="21"/>
                <w:szCs w:val="21"/>
              </w:rPr>
              <w:t>坚决打好污染防治攻坚战的意见》</w:t>
            </w:r>
          </w:p>
        </w:tc>
      </w:tr>
      <w:tr w14:paraId="797645D9">
        <w:tblPrEx>
          <w:tblCellMar>
            <w:top w:w="0" w:type="dxa"/>
            <w:left w:w="108" w:type="dxa"/>
            <w:bottom w:w="0" w:type="dxa"/>
            <w:right w:w="108" w:type="dxa"/>
          </w:tblCellMar>
        </w:tblPrEx>
        <w:trPr>
          <w:trHeight w:val="368"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6515F09A">
            <w:pPr>
              <w:widowControl/>
              <w:suppressAutoHyphens w:val="0"/>
              <w:spacing w:line="240" w:lineRule="auto"/>
              <w:ind w:firstLine="0" w:firstLineChars="0"/>
              <w:jc w:val="center"/>
              <w:rPr>
                <w:rFonts w:cs="宋体"/>
                <w:color w:val="000000"/>
                <w:kern w:val="0"/>
                <w:sz w:val="21"/>
                <w:szCs w:val="21"/>
              </w:rPr>
            </w:pPr>
          </w:p>
        </w:tc>
        <w:tc>
          <w:tcPr>
            <w:tcW w:w="6506" w:type="dxa"/>
            <w:tcBorders>
              <w:top w:val="nil"/>
              <w:left w:val="nil"/>
              <w:bottom w:val="single" w:color="auto" w:sz="4" w:space="0"/>
              <w:right w:val="single" w:color="auto" w:sz="4" w:space="0"/>
            </w:tcBorders>
            <w:shd w:val="clear" w:color="auto" w:fill="auto"/>
            <w:noWrap/>
            <w:vAlign w:val="center"/>
          </w:tcPr>
          <w:p w14:paraId="19EDB079">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《国务院办公厅关于大力发展装配式建筑的指导意见》</w:t>
            </w:r>
          </w:p>
        </w:tc>
      </w:tr>
      <w:tr w14:paraId="08724C0C">
        <w:tblPrEx>
          <w:tblCellMar>
            <w:top w:w="0" w:type="dxa"/>
            <w:left w:w="108" w:type="dxa"/>
            <w:bottom w:w="0" w:type="dxa"/>
            <w:right w:w="108" w:type="dxa"/>
          </w:tblCellMar>
        </w:tblPrEx>
        <w:trPr>
          <w:trHeight w:val="315"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21BDDDC2">
            <w:pPr>
              <w:widowControl/>
              <w:suppressAutoHyphens w:val="0"/>
              <w:spacing w:line="240" w:lineRule="auto"/>
              <w:ind w:firstLine="0" w:firstLineChars="0"/>
              <w:jc w:val="center"/>
              <w:rPr>
                <w:rFonts w:cs="宋体"/>
                <w:color w:val="000000"/>
                <w:kern w:val="0"/>
                <w:sz w:val="21"/>
                <w:szCs w:val="21"/>
              </w:rPr>
            </w:pPr>
          </w:p>
        </w:tc>
        <w:tc>
          <w:tcPr>
            <w:tcW w:w="6506" w:type="dxa"/>
            <w:tcBorders>
              <w:top w:val="nil"/>
              <w:left w:val="nil"/>
              <w:bottom w:val="single" w:color="auto" w:sz="4" w:space="0"/>
              <w:right w:val="single" w:color="auto" w:sz="4" w:space="0"/>
            </w:tcBorders>
            <w:shd w:val="clear" w:color="auto" w:fill="auto"/>
            <w:noWrap/>
            <w:vAlign w:val="center"/>
          </w:tcPr>
          <w:p w14:paraId="1B42AD89">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《国务院关于实施健康中国行动的意见》</w:t>
            </w:r>
          </w:p>
        </w:tc>
      </w:tr>
      <w:tr w14:paraId="41109B89">
        <w:tblPrEx>
          <w:tblCellMar>
            <w:top w:w="0" w:type="dxa"/>
            <w:left w:w="108" w:type="dxa"/>
            <w:bottom w:w="0" w:type="dxa"/>
            <w:right w:w="108" w:type="dxa"/>
          </w:tblCellMar>
        </w:tblPrEx>
        <w:trPr>
          <w:trHeight w:val="315"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402E3949">
            <w:pPr>
              <w:widowControl/>
              <w:suppressAutoHyphens w:val="0"/>
              <w:spacing w:line="240" w:lineRule="auto"/>
              <w:ind w:firstLine="0" w:firstLineChars="0"/>
              <w:jc w:val="center"/>
              <w:rPr>
                <w:rFonts w:cs="宋体"/>
                <w:color w:val="000000"/>
                <w:kern w:val="0"/>
                <w:sz w:val="21"/>
                <w:szCs w:val="21"/>
              </w:rPr>
            </w:pPr>
          </w:p>
        </w:tc>
        <w:tc>
          <w:tcPr>
            <w:tcW w:w="6506" w:type="dxa"/>
            <w:tcBorders>
              <w:top w:val="nil"/>
              <w:left w:val="nil"/>
              <w:bottom w:val="single" w:color="auto" w:sz="4" w:space="0"/>
              <w:right w:val="single" w:color="auto" w:sz="4" w:space="0"/>
            </w:tcBorders>
            <w:shd w:val="clear" w:color="auto" w:fill="auto"/>
            <w:noWrap/>
            <w:vAlign w:val="center"/>
          </w:tcPr>
          <w:p w14:paraId="4A10F7F4">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《国务院办公厅关于印发健康中国行动组织实施和考核方案的通知》</w:t>
            </w:r>
          </w:p>
        </w:tc>
      </w:tr>
      <w:tr w14:paraId="3FF010F2">
        <w:tblPrEx>
          <w:tblCellMar>
            <w:top w:w="0" w:type="dxa"/>
            <w:left w:w="108" w:type="dxa"/>
            <w:bottom w:w="0" w:type="dxa"/>
            <w:right w:w="108" w:type="dxa"/>
          </w:tblCellMar>
        </w:tblPrEx>
        <w:trPr>
          <w:trHeight w:val="315"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25BA42B7">
            <w:pPr>
              <w:widowControl/>
              <w:suppressAutoHyphens w:val="0"/>
              <w:spacing w:line="240" w:lineRule="auto"/>
              <w:ind w:firstLine="0" w:firstLineChars="0"/>
              <w:jc w:val="center"/>
              <w:rPr>
                <w:rFonts w:cs="宋体"/>
                <w:color w:val="000000"/>
                <w:kern w:val="0"/>
                <w:sz w:val="21"/>
                <w:szCs w:val="21"/>
              </w:rPr>
            </w:pPr>
          </w:p>
        </w:tc>
        <w:tc>
          <w:tcPr>
            <w:tcW w:w="6506" w:type="dxa"/>
            <w:tcBorders>
              <w:top w:val="nil"/>
              <w:left w:val="nil"/>
              <w:bottom w:val="single" w:color="auto" w:sz="4" w:space="0"/>
              <w:right w:val="single" w:color="auto" w:sz="4" w:space="0"/>
            </w:tcBorders>
            <w:shd w:val="clear" w:color="auto" w:fill="auto"/>
            <w:noWrap/>
            <w:vAlign w:val="center"/>
          </w:tcPr>
          <w:p w14:paraId="48311CE3">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《国务院办公厅关于推进海绵城市建设的指导意见》</w:t>
            </w:r>
          </w:p>
        </w:tc>
      </w:tr>
      <w:tr w14:paraId="5FDD6681">
        <w:tblPrEx>
          <w:tblCellMar>
            <w:top w:w="0" w:type="dxa"/>
            <w:left w:w="108" w:type="dxa"/>
            <w:bottom w:w="0" w:type="dxa"/>
            <w:right w:w="108" w:type="dxa"/>
          </w:tblCellMar>
        </w:tblPrEx>
        <w:trPr>
          <w:trHeight w:val="315"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7766591D">
            <w:pPr>
              <w:widowControl/>
              <w:suppressAutoHyphens w:val="0"/>
              <w:spacing w:line="240" w:lineRule="auto"/>
              <w:ind w:firstLine="0" w:firstLineChars="0"/>
              <w:jc w:val="center"/>
              <w:rPr>
                <w:rFonts w:cs="宋体"/>
                <w:color w:val="000000"/>
                <w:kern w:val="0"/>
                <w:sz w:val="21"/>
                <w:szCs w:val="21"/>
              </w:rPr>
            </w:pPr>
          </w:p>
        </w:tc>
        <w:tc>
          <w:tcPr>
            <w:tcW w:w="6506" w:type="dxa"/>
            <w:tcBorders>
              <w:top w:val="nil"/>
              <w:left w:val="nil"/>
              <w:bottom w:val="single" w:color="auto" w:sz="4" w:space="0"/>
              <w:right w:val="single" w:color="auto" w:sz="4" w:space="0"/>
            </w:tcBorders>
            <w:shd w:val="clear" w:color="auto" w:fill="auto"/>
            <w:noWrap/>
            <w:vAlign w:val="center"/>
          </w:tcPr>
          <w:p w14:paraId="693EDEC9">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《国办转发住房城乡建设部关于完善质量保障体系提升建筑工程品质指导意见的通知》</w:t>
            </w:r>
          </w:p>
        </w:tc>
      </w:tr>
      <w:tr w14:paraId="79ABBF97">
        <w:tblPrEx>
          <w:tblCellMar>
            <w:top w:w="0" w:type="dxa"/>
            <w:left w:w="108" w:type="dxa"/>
            <w:bottom w:w="0" w:type="dxa"/>
            <w:right w:w="108" w:type="dxa"/>
          </w:tblCellMar>
        </w:tblPrEx>
        <w:trPr>
          <w:trHeight w:val="315"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6F3F593A">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辽宁省</w:t>
            </w:r>
          </w:p>
        </w:tc>
        <w:tc>
          <w:tcPr>
            <w:tcW w:w="6506" w:type="dxa"/>
            <w:tcBorders>
              <w:top w:val="nil"/>
              <w:left w:val="nil"/>
              <w:bottom w:val="single" w:color="auto" w:sz="4" w:space="0"/>
              <w:right w:val="single" w:color="auto" w:sz="4" w:space="0"/>
            </w:tcBorders>
            <w:shd w:val="clear" w:color="auto" w:fill="auto"/>
            <w:noWrap/>
            <w:vAlign w:val="center"/>
          </w:tcPr>
          <w:p w14:paraId="6676C178">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《共建城市更新先导区合作框架协议》</w:t>
            </w:r>
          </w:p>
        </w:tc>
      </w:tr>
      <w:tr w14:paraId="54DC0C85">
        <w:tblPrEx>
          <w:tblCellMar>
            <w:top w:w="0" w:type="dxa"/>
            <w:left w:w="108" w:type="dxa"/>
            <w:bottom w:w="0" w:type="dxa"/>
            <w:right w:w="108" w:type="dxa"/>
          </w:tblCellMar>
        </w:tblPrEx>
        <w:trPr>
          <w:trHeight w:val="315"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1BC699CA">
            <w:pPr>
              <w:widowControl/>
              <w:suppressAutoHyphens w:val="0"/>
              <w:spacing w:line="240" w:lineRule="auto"/>
              <w:ind w:firstLine="0" w:firstLineChars="0"/>
              <w:jc w:val="center"/>
              <w:rPr>
                <w:rFonts w:cs="宋体"/>
                <w:color w:val="000000"/>
                <w:kern w:val="0"/>
                <w:sz w:val="21"/>
                <w:szCs w:val="21"/>
              </w:rPr>
            </w:pPr>
          </w:p>
        </w:tc>
        <w:tc>
          <w:tcPr>
            <w:tcW w:w="6506" w:type="dxa"/>
            <w:tcBorders>
              <w:top w:val="nil"/>
              <w:left w:val="nil"/>
              <w:bottom w:val="single" w:color="auto" w:sz="4" w:space="0"/>
              <w:right w:val="single" w:color="auto" w:sz="4" w:space="0"/>
            </w:tcBorders>
            <w:shd w:val="clear" w:color="auto" w:fill="auto"/>
            <w:noWrap/>
            <w:vAlign w:val="center"/>
          </w:tcPr>
          <w:p w14:paraId="3E9A7C31">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《辽宁省人民政府办公厅关于促进建筑业高质量发展的意见》</w:t>
            </w:r>
          </w:p>
        </w:tc>
      </w:tr>
      <w:tr w14:paraId="6700246A">
        <w:tblPrEx>
          <w:tblCellMar>
            <w:top w:w="0" w:type="dxa"/>
            <w:left w:w="108" w:type="dxa"/>
            <w:bottom w:w="0" w:type="dxa"/>
            <w:right w:w="108" w:type="dxa"/>
          </w:tblCellMar>
        </w:tblPrEx>
        <w:trPr>
          <w:trHeight w:val="315"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24CD7C42">
            <w:pPr>
              <w:widowControl/>
              <w:suppressAutoHyphens w:val="0"/>
              <w:spacing w:line="240" w:lineRule="auto"/>
              <w:ind w:firstLine="0" w:firstLineChars="0"/>
              <w:jc w:val="center"/>
              <w:rPr>
                <w:rFonts w:cs="宋体"/>
                <w:color w:val="000000"/>
                <w:kern w:val="0"/>
                <w:sz w:val="21"/>
                <w:szCs w:val="21"/>
              </w:rPr>
            </w:pPr>
          </w:p>
        </w:tc>
        <w:tc>
          <w:tcPr>
            <w:tcW w:w="6506" w:type="dxa"/>
            <w:tcBorders>
              <w:top w:val="nil"/>
              <w:left w:val="nil"/>
              <w:bottom w:val="single" w:color="auto" w:sz="4" w:space="0"/>
              <w:right w:val="single" w:color="auto" w:sz="4" w:space="0"/>
            </w:tcBorders>
            <w:shd w:val="clear" w:color="auto" w:fill="auto"/>
            <w:noWrap/>
            <w:vAlign w:val="center"/>
          </w:tcPr>
          <w:p w14:paraId="200EE7D5">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《辽宁省推广绿色建筑实施意见》</w:t>
            </w:r>
          </w:p>
        </w:tc>
      </w:tr>
      <w:tr w14:paraId="6B1D2BC9">
        <w:tblPrEx>
          <w:tblCellMar>
            <w:top w:w="0" w:type="dxa"/>
            <w:left w:w="108" w:type="dxa"/>
            <w:bottom w:w="0" w:type="dxa"/>
            <w:right w:w="108" w:type="dxa"/>
          </w:tblCellMar>
        </w:tblPrEx>
        <w:trPr>
          <w:trHeight w:val="315"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098DDE3A">
            <w:pPr>
              <w:widowControl/>
              <w:suppressAutoHyphens w:val="0"/>
              <w:spacing w:line="240" w:lineRule="auto"/>
              <w:ind w:firstLine="0" w:firstLineChars="0"/>
              <w:jc w:val="center"/>
              <w:rPr>
                <w:rFonts w:cs="宋体"/>
                <w:color w:val="000000"/>
                <w:kern w:val="0"/>
                <w:sz w:val="21"/>
                <w:szCs w:val="21"/>
              </w:rPr>
            </w:pPr>
          </w:p>
        </w:tc>
        <w:tc>
          <w:tcPr>
            <w:tcW w:w="6506" w:type="dxa"/>
            <w:tcBorders>
              <w:top w:val="nil"/>
              <w:left w:val="nil"/>
              <w:bottom w:val="single" w:color="auto" w:sz="4" w:space="0"/>
              <w:right w:val="single" w:color="auto" w:sz="4" w:space="0"/>
            </w:tcBorders>
            <w:shd w:val="clear" w:color="auto" w:fill="auto"/>
            <w:noWrap/>
            <w:vAlign w:val="center"/>
          </w:tcPr>
          <w:p w14:paraId="715A9FCA">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《辽宁省人民政府办公厅关于推进海绵城市建设的实施意见》</w:t>
            </w:r>
          </w:p>
        </w:tc>
      </w:tr>
      <w:tr w14:paraId="08A7532E">
        <w:tblPrEx>
          <w:tblCellMar>
            <w:top w:w="0" w:type="dxa"/>
            <w:left w:w="108" w:type="dxa"/>
            <w:bottom w:w="0" w:type="dxa"/>
            <w:right w:w="108" w:type="dxa"/>
          </w:tblCellMar>
        </w:tblPrEx>
        <w:trPr>
          <w:trHeight w:val="315"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2A3FCE63">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沈阳市</w:t>
            </w:r>
          </w:p>
        </w:tc>
        <w:tc>
          <w:tcPr>
            <w:tcW w:w="6506" w:type="dxa"/>
            <w:tcBorders>
              <w:top w:val="nil"/>
              <w:left w:val="nil"/>
              <w:bottom w:val="single" w:color="auto" w:sz="4" w:space="0"/>
              <w:right w:val="single" w:color="auto" w:sz="4" w:space="0"/>
            </w:tcBorders>
            <w:shd w:val="clear" w:color="auto" w:fill="auto"/>
            <w:noWrap/>
            <w:vAlign w:val="center"/>
          </w:tcPr>
          <w:p w14:paraId="424A8F70">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《关于促进沈阳市建筑业持续健康发展的意见》</w:t>
            </w:r>
          </w:p>
        </w:tc>
      </w:tr>
      <w:tr w14:paraId="170B9D01">
        <w:tblPrEx>
          <w:tblCellMar>
            <w:top w:w="0" w:type="dxa"/>
            <w:left w:w="108" w:type="dxa"/>
            <w:bottom w:w="0" w:type="dxa"/>
            <w:right w:w="108" w:type="dxa"/>
          </w:tblCellMar>
        </w:tblPrEx>
        <w:trPr>
          <w:trHeight w:val="315" w:hRule="atLeast"/>
          <w:jc w:val="center"/>
        </w:trPr>
        <w:tc>
          <w:tcPr>
            <w:tcW w:w="1036" w:type="dxa"/>
            <w:tcBorders>
              <w:top w:val="nil"/>
              <w:left w:val="single" w:color="auto" w:sz="4" w:space="0"/>
              <w:bottom w:val="single" w:color="auto" w:sz="4" w:space="0"/>
              <w:right w:val="single" w:color="auto" w:sz="4" w:space="0"/>
            </w:tcBorders>
            <w:shd w:val="clear" w:color="auto" w:fill="auto"/>
            <w:noWrap/>
            <w:vAlign w:val="center"/>
          </w:tcPr>
          <w:p w14:paraId="5FB4859F">
            <w:pPr>
              <w:widowControl/>
              <w:suppressAutoHyphens w:val="0"/>
              <w:spacing w:line="240" w:lineRule="auto"/>
              <w:ind w:firstLine="0" w:firstLineChars="0"/>
              <w:jc w:val="center"/>
              <w:rPr>
                <w:rFonts w:cs="宋体"/>
                <w:color w:val="000000"/>
                <w:kern w:val="0"/>
                <w:sz w:val="21"/>
                <w:szCs w:val="21"/>
              </w:rPr>
            </w:pPr>
          </w:p>
        </w:tc>
        <w:tc>
          <w:tcPr>
            <w:tcW w:w="6506" w:type="dxa"/>
            <w:tcBorders>
              <w:top w:val="nil"/>
              <w:left w:val="nil"/>
              <w:bottom w:val="single" w:color="auto" w:sz="4" w:space="0"/>
              <w:right w:val="single" w:color="auto" w:sz="4" w:space="0"/>
            </w:tcBorders>
            <w:shd w:val="clear" w:color="auto" w:fill="auto"/>
            <w:noWrap/>
            <w:vAlign w:val="center"/>
          </w:tcPr>
          <w:p w14:paraId="6624844D">
            <w:pPr>
              <w:widowControl/>
              <w:suppressAutoHyphens w:val="0"/>
              <w:spacing w:line="240" w:lineRule="auto"/>
              <w:ind w:firstLine="0" w:firstLineChars="0"/>
              <w:jc w:val="center"/>
              <w:rPr>
                <w:rFonts w:cs="宋体"/>
                <w:color w:val="000000"/>
                <w:kern w:val="0"/>
                <w:sz w:val="21"/>
                <w:szCs w:val="21"/>
              </w:rPr>
            </w:pPr>
            <w:r>
              <w:rPr>
                <w:rFonts w:hint="eastAsia" w:cs="宋体"/>
                <w:color w:val="000000"/>
                <w:kern w:val="0"/>
                <w:sz w:val="21"/>
                <w:szCs w:val="21"/>
              </w:rPr>
              <w:t>《沈阳市人民政府关于推进海绵城市建设的实施意见》</w:t>
            </w:r>
          </w:p>
        </w:tc>
      </w:tr>
    </w:tbl>
    <w:p w14:paraId="49D68B35">
      <w:pPr>
        <w:pStyle w:val="57"/>
      </w:pPr>
      <w:r>
        <w:rPr>
          <w:rFonts w:hint="eastAsia"/>
        </w:rPr>
        <w:t>二、激励政策汇总</w:t>
      </w:r>
    </w:p>
    <w:p w14:paraId="60C33BA1">
      <w:r>
        <w:t>减免城市基础设施配套费的优惠，内蒙古自治区对取得一、二、三星级绿色建筑评价标识的项目城市配套费分别减免50%、70%、100%；青海省、海南省对取得二、三星级绿色建筑评价标识的项目城市配套费分别减免20%、40%。</w:t>
      </w:r>
    </w:p>
    <w:p w14:paraId="2A2210D3">
      <w:r>
        <w:rPr>
          <w:rFonts w:hint="eastAsia"/>
        </w:rPr>
        <w:t>容积率返还，贵州省对获得星级绿色建筑设计标识项目，按建筑面积的</w:t>
      </w:r>
      <w:r>
        <w:t>3%</w:t>
      </w:r>
      <w:r>
        <w:rPr>
          <w:rFonts w:hint="eastAsia"/>
        </w:rPr>
        <w:t>以内给予奖励；江苏省、浙江省外墙保温层的建筑面积不计入建筑容积率。</w:t>
      </w:r>
    </w:p>
    <w:p w14:paraId="2F91AB2D">
      <w:r>
        <w:rPr>
          <w:rFonts w:hint="eastAsia"/>
        </w:rPr>
        <w:t>电价优惠，江苏省居住建筑利用浅层地温能供暖制冷的，执行居民峰谷分时电价；采用浅层地温能供暖制冷的企业参照清洁能源锅炉采暖价格收取采暖费。浙江省居住建筑采用地源（水源）热泵技术供暖制冷的，供暖制冷系统用电可以执行居民峰谷分时电价。</w:t>
      </w:r>
    </w:p>
    <w:p w14:paraId="1C6A831A">
      <w:r>
        <w:rPr>
          <w:rFonts w:hint="eastAsia"/>
        </w:rPr>
        <w:t>水资源价格优惠，江苏省地源热泵系统应用项目按照规定减征或者免征水资源费；浙江省民用建筑以地表水源为热源采用热泵技术供暖制冷，采取安全、环保回流措施的，应当按照实际消耗水量计收水资源费。</w:t>
      </w:r>
    </w:p>
    <w:p w14:paraId="31F2F5AF">
      <w:r>
        <w:rPr>
          <w:rFonts w:hint="eastAsia"/>
        </w:rPr>
        <w:t>贷款利率优惠，安徽省金融机构对绿色建筑的消费贷款利率可下浮</w:t>
      </w:r>
      <w:r>
        <w:t>0.5%</w:t>
      </w:r>
      <w:r>
        <w:rPr>
          <w:rFonts w:hint="eastAsia"/>
        </w:rPr>
        <w:t>、开发贷款利率可下浮</w:t>
      </w:r>
      <w:r>
        <w:t>1%</w:t>
      </w:r>
      <w:r>
        <w:rPr>
          <w:rFonts w:hint="eastAsia"/>
        </w:rPr>
        <w:t>；江苏省使用住房公积金贷款购买二星级以上绿色建筑的，贷款额度可以上浮</w:t>
      </w:r>
      <w:r>
        <w:t>20%</w:t>
      </w:r>
      <w:r>
        <w:rPr>
          <w:rFonts w:hint="eastAsia"/>
        </w:rPr>
        <w:t>；浙江省使用住房公积金贷款购买二星级以上绿色建筑或者新建全装修成品住房的，公积金贷款额度最高可以上浮</w:t>
      </w:r>
      <w:r>
        <w:t>20%</w:t>
      </w:r>
      <w:r>
        <w:rPr>
          <w:rFonts w:hint="eastAsia"/>
        </w:rPr>
        <w:t>。</w:t>
      </w:r>
    </w:p>
    <w:p w14:paraId="6F6BCB0D">
      <w:r>
        <w:rPr>
          <w:rFonts w:hint="eastAsia"/>
        </w:rPr>
        <w:t>专项基金优惠，武汉市、南京市、郑州市针对绿色建筑还提出了新型墙体材料专项基金返还的优惠。</w:t>
      </w:r>
    </w:p>
    <w:p w14:paraId="66A8EAD6">
      <w:r>
        <w:rPr>
          <w:rFonts w:hint="eastAsia"/>
        </w:rPr>
        <w:t>精神鼓励方面，湖南省、安徽省、山东省将绿色建筑作为各种奖项评选活动的必备条件，对实施绿色建筑的企业年检、企业资质升级方面予以优先或加分。</w:t>
      </w:r>
    </w:p>
    <w:p w14:paraId="5C00947C">
      <w:r>
        <w:rPr>
          <w:rFonts w:hint="eastAsia"/>
        </w:rPr>
        <w:t>财政补助方面，选取部分省、市相关奖补政策如下：</w:t>
      </w:r>
    </w:p>
    <w:p w14:paraId="17B9975F">
      <w:r>
        <w:rPr>
          <w:rFonts w:hint="eastAsia"/>
        </w:rPr>
        <w:t>湖南省：对省绿色建筑创建计划项目，纳入绿色审批通道；对因绿色建筑技术而增加的建筑面积，不纳入建筑容积率核算；在</w:t>
      </w:r>
      <w:r>
        <w:t>“</w:t>
      </w:r>
      <w:r>
        <w:rPr>
          <w:rFonts w:hint="eastAsia"/>
        </w:rPr>
        <w:t>鲁班奖</w:t>
      </w:r>
      <w:r>
        <w:t>”</w:t>
      </w:r>
      <w:r>
        <w:rPr>
          <w:rFonts w:hint="eastAsia"/>
        </w:rPr>
        <w:t>、</w:t>
      </w:r>
      <w:r>
        <w:t>“</w:t>
      </w:r>
      <w:r>
        <w:rPr>
          <w:rFonts w:hint="eastAsia"/>
        </w:rPr>
        <w:t>广厦奖</w:t>
      </w:r>
      <w:r>
        <w:t>”</w:t>
      </w:r>
      <w:r>
        <w:rPr>
          <w:rFonts w:hint="eastAsia"/>
        </w:rPr>
        <w:t>等评优活动，将获得绿色建筑标识作为民用房屋建筑项目入选必备条件；对实施绿色建筑的相关企业，在企业资质年检、企业资质升级中给予优先考虑或加分</w:t>
      </w:r>
    </w:p>
    <w:p w14:paraId="5FD6F16D">
      <w:r>
        <w:rPr>
          <w:rFonts w:hint="eastAsia"/>
        </w:rPr>
        <w:t>海南省：对达到二星级运行标识的绿色建筑返还</w:t>
      </w:r>
      <w:r>
        <w:t>20%</w:t>
      </w:r>
      <w:r>
        <w:rPr>
          <w:rFonts w:hint="eastAsia"/>
        </w:rPr>
        <w:t>的城市基础设施配套费；对达到三星级运营标识的绿色建筑返还</w:t>
      </w:r>
      <w:r>
        <w:t>40%</w:t>
      </w:r>
      <w:r>
        <w:rPr>
          <w:rFonts w:hint="eastAsia"/>
        </w:rPr>
        <w:t>的城市基础设施配套费</w:t>
      </w:r>
    </w:p>
    <w:p w14:paraId="59AB5571">
      <w:r>
        <w:rPr>
          <w:rFonts w:hint="eastAsia"/>
        </w:rPr>
        <w:t>山东省：已获得国家绿色建筑评价标识的单体绿色建筑项目，省级根据项目所获的星级给予奖励，</w:t>
      </w:r>
      <w:r>
        <w:t>2013</w:t>
      </w:r>
      <w:r>
        <w:rPr>
          <w:rFonts w:hint="eastAsia"/>
        </w:rPr>
        <w:t>年奖励标准为：一星</w:t>
      </w:r>
      <w:r>
        <w:t>15</w:t>
      </w:r>
      <w:r>
        <w:rPr>
          <w:rFonts w:hint="eastAsia"/>
        </w:rPr>
        <w:t>元</w:t>
      </w:r>
      <w:r>
        <w:t>/</w:t>
      </w:r>
      <w:r>
        <w:rPr>
          <w:rFonts w:hint="eastAsia"/>
        </w:rPr>
        <w:t>平方米，二星</w:t>
      </w:r>
      <w:r>
        <w:t>30</w:t>
      </w:r>
      <w:r>
        <w:rPr>
          <w:rFonts w:hint="eastAsia"/>
        </w:rPr>
        <w:t>元</w:t>
      </w:r>
      <w:r>
        <w:t>/</w:t>
      </w:r>
      <w:r>
        <w:rPr>
          <w:rFonts w:hint="eastAsia"/>
        </w:rPr>
        <w:t>平方米，三星</w:t>
      </w:r>
      <w:r>
        <w:t>50</w:t>
      </w:r>
      <w:r>
        <w:rPr>
          <w:rFonts w:hint="eastAsia"/>
        </w:rPr>
        <w:t>元</w:t>
      </w:r>
      <w:r>
        <w:t>/</w:t>
      </w:r>
      <w:r>
        <w:rPr>
          <w:rFonts w:hint="eastAsia"/>
        </w:rPr>
        <w:t>平方米；获</w:t>
      </w:r>
      <w:r>
        <w:t>“</w:t>
      </w:r>
      <w:r>
        <w:rPr>
          <w:rFonts w:hint="eastAsia"/>
        </w:rPr>
        <w:t>设计标识</w:t>
      </w:r>
      <w:r>
        <w:t>”</w:t>
      </w:r>
      <w:r>
        <w:rPr>
          <w:rFonts w:hint="eastAsia"/>
        </w:rPr>
        <w:t>后，可获相应星级</w:t>
      </w:r>
      <w:r>
        <w:t>30%</w:t>
      </w:r>
      <w:r>
        <w:rPr>
          <w:rFonts w:hint="eastAsia"/>
        </w:rPr>
        <w:t>奖金；竣工后，经现场核实与设计一致的，可再获相应星级</w:t>
      </w:r>
      <w:r>
        <w:t>30%</w:t>
      </w:r>
      <w:r>
        <w:rPr>
          <w:rFonts w:hint="eastAsia"/>
        </w:rPr>
        <w:t>奖金；获</w:t>
      </w:r>
      <w:r>
        <w:t>“</w:t>
      </w:r>
      <w:r>
        <w:rPr>
          <w:rFonts w:hint="eastAsia"/>
        </w:rPr>
        <w:t>绿色建筑评价标识</w:t>
      </w:r>
      <w:r>
        <w:t>”</w:t>
      </w:r>
      <w:r>
        <w:rPr>
          <w:rFonts w:hint="eastAsia"/>
        </w:rPr>
        <w:t>后，获剩余</w:t>
      </w:r>
      <w:r>
        <w:t>40%</w:t>
      </w:r>
      <w:r>
        <w:rPr>
          <w:rFonts w:hint="eastAsia"/>
        </w:rPr>
        <w:t>奖金</w:t>
      </w:r>
    </w:p>
    <w:p w14:paraId="70E17C69">
      <w:r>
        <w:rPr>
          <w:rFonts w:hint="eastAsia"/>
        </w:rPr>
        <w:t>陕西省：达到二、三星级绿色建筑标准的，除享受国家奖励资金补助外，省财政给予配套奖励：一星</w:t>
      </w:r>
      <w:r>
        <w:t>10</w:t>
      </w:r>
      <w:r>
        <w:rPr>
          <w:rFonts w:hint="eastAsia"/>
        </w:rPr>
        <w:t>元</w:t>
      </w:r>
      <w:r>
        <w:t>/</w:t>
      </w:r>
      <w:r>
        <w:rPr>
          <w:rFonts w:hint="eastAsia"/>
        </w:rPr>
        <w:t>平方米，二星</w:t>
      </w:r>
      <w:r>
        <w:t>15</w:t>
      </w:r>
      <w:r>
        <w:rPr>
          <w:rFonts w:hint="eastAsia"/>
        </w:rPr>
        <w:t>元</w:t>
      </w:r>
      <w:r>
        <w:t>/</w:t>
      </w:r>
      <w:r>
        <w:rPr>
          <w:rFonts w:hint="eastAsia"/>
        </w:rPr>
        <w:t>平方米，三星</w:t>
      </w:r>
      <w:r>
        <w:t>20</w:t>
      </w:r>
      <w:r>
        <w:rPr>
          <w:rFonts w:hint="eastAsia"/>
        </w:rPr>
        <w:t>元</w:t>
      </w:r>
      <w:r>
        <w:t>/</w:t>
      </w:r>
      <w:r>
        <w:rPr>
          <w:rFonts w:hint="eastAsia"/>
        </w:rPr>
        <w:t>平方米；对公益性建筑、商业性公共建筑、保障性住房等，奖励资金兑付给建设单位或投资方；对商业性住宅项目，奖励资金</w:t>
      </w:r>
      <w:r>
        <w:t>30%</w:t>
      </w:r>
      <w:r>
        <w:rPr>
          <w:rFonts w:hint="eastAsia"/>
        </w:rPr>
        <w:t>兑付给建设单位或投资方，</w:t>
      </w:r>
      <w:r>
        <w:t>70%</w:t>
      </w:r>
      <w:r>
        <w:rPr>
          <w:rFonts w:hint="eastAsia"/>
        </w:rPr>
        <w:t>兑付给购房者；对二星级以上绿色建筑达到</w:t>
      </w:r>
      <w:r>
        <w:t>30%</w:t>
      </w:r>
      <w:r>
        <w:rPr>
          <w:rFonts w:hint="eastAsia"/>
        </w:rPr>
        <w:t>以上，</w:t>
      </w:r>
      <w:r>
        <w:t>2</w:t>
      </w:r>
      <w:r>
        <w:rPr>
          <w:rFonts w:hint="eastAsia"/>
        </w:rPr>
        <w:t>年内绿色建筑开工建设规模介于</w:t>
      </w:r>
      <w:r>
        <w:t>100</w:t>
      </w:r>
      <w:r>
        <w:rPr>
          <w:rFonts w:hint="eastAsia"/>
        </w:rPr>
        <w:t>万</w:t>
      </w:r>
      <w:r>
        <w:t>~200</w:t>
      </w:r>
      <w:r>
        <w:rPr>
          <w:rFonts w:hint="eastAsia"/>
        </w:rPr>
        <w:t>万平方米之间的绿色生态城区补助</w:t>
      </w:r>
      <w:r>
        <w:t>100</w:t>
      </w:r>
      <w:r>
        <w:rPr>
          <w:rFonts w:hint="eastAsia"/>
        </w:rPr>
        <w:t>万元。</w:t>
      </w:r>
    </w:p>
    <w:p w14:paraId="43F81173">
      <w:r>
        <w:rPr>
          <w:rFonts w:hint="eastAsia"/>
        </w:rPr>
        <w:t>青岛市：对获得国家绿色建筑评价标识的项目给予奖励，公共建筑：三星</w:t>
      </w:r>
      <w:r>
        <w:t>50</w:t>
      </w:r>
      <w:r>
        <w:rPr>
          <w:rFonts w:hint="eastAsia"/>
        </w:rPr>
        <w:t>元</w:t>
      </w:r>
      <w:r>
        <w:t>/</w:t>
      </w:r>
      <w:r>
        <w:rPr>
          <w:rFonts w:hint="eastAsia"/>
        </w:rPr>
        <w:t>平方米，单个项目</w:t>
      </w:r>
      <w:r>
        <w:t>150</w:t>
      </w:r>
      <w:r>
        <w:rPr>
          <w:rFonts w:hint="eastAsia"/>
        </w:rPr>
        <w:t>万元封顶；二星</w:t>
      </w:r>
      <w:r>
        <w:t>40</w:t>
      </w:r>
      <w:r>
        <w:rPr>
          <w:rFonts w:hint="eastAsia"/>
        </w:rPr>
        <w:t>元</w:t>
      </w:r>
      <w:r>
        <w:t>/</w:t>
      </w:r>
      <w:r>
        <w:rPr>
          <w:rFonts w:hint="eastAsia"/>
        </w:rPr>
        <w:t>平方米，单个项目</w:t>
      </w:r>
      <w:r>
        <w:t>100</w:t>
      </w:r>
      <w:r>
        <w:rPr>
          <w:rFonts w:hint="eastAsia"/>
        </w:rPr>
        <w:t>万元封顶；一星</w:t>
      </w:r>
      <w:r>
        <w:t>30</w:t>
      </w:r>
      <w:r>
        <w:rPr>
          <w:rFonts w:hint="eastAsia"/>
        </w:rPr>
        <w:t>元</w:t>
      </w:r>
      <w:r>
        <w:t>/</w:t>
      </w:r>
      <w:r>
        <w:rPr>
          <w:rFonts w:hint="eastAsia"/>
        </w:rPr>
        <w:t>平方米，单个项目</w:t>
      </w:r>
      <w:r>
        <w:t>60</w:t>
      </w:r>
      <w:r>
        <w:rPr>
          <w:rFonts w:hint="eastAsia"/>
        </w:rPr>
        <w:t>万元封顶；居住建筑：三星</w:t>
      </w:r>
      <w:r>
        <w:t>40</w:t>
      </w:r>
      <w:r>
        <w:rPr>
          <w:rFonts w:hint="eastAsia"/>
        </w:rPr>
        <w:t>元</w:t>
      </w:r>
      <w:r>
        <w:t>/</w:t>
      </w:r>
      <w:r>
        <w:rPr>
          <w:rFonts w:hint="eastAsia"/>
        </w:rPr>
        <w:t>平方米，单个项目</w:t>
      </w:r>
      <w:r>
        <w:t>150</w:t>
      </w:r>
      <w:r>
        <w:rPr>
          <w:rFonts w:hint="eastAsia"/>
        </w:rPr>
        <w:t>万元封顶；二星</w:t>
      </w:r>
      <w:r>
        <w:t>30</w:t>
      </w:r>
      <w:r>
        <w:rPr>
          <w:rFonts w:hint="eastAsia"/>
        </w:rPr>
        <w:t>元</w:t>
      </w:r>
      <w:r>
        <w:t>/</w:t>
      </w:r>
      <w:r>
        <w:rPr>
          <w:rFonts w:hint="eastAsia"/>
        </w:rPr>
        <w:t>平方米，单个项目</w:t>
      </w:r>
      <w:r>
        <w:t>100</w:t>
      </w:r>
      <w:r>
        <w:rPr>
          <w:rFonts w:hint="eastAsia"/>
        </w:rPr>
        <w:t>万元封顶；一星</w:t>
      </w:r>
      <w:r>
        <w:t>20</w:t>
      </w:r>
      <w:r>
        <w:rPr>
          <w:rFonts w:hint="eastAsia"/>
        </w:rPr>
        <w:t>元</w:t>
      </w:r>
      <w:r>
        <w:t>/</w:t>
      </w:r>
      <w:r>
        <w:rPr>
          <w:rFonts w:hint="eastAsia"/>
        </w:rPr>
        <w:t>平方米，单个项目</w:t>
      </w:r>
      <w:r>
        <w:t>60</w:t>
      </w:r>
      <w:r>
        <w:rPr>
          <w:rFonts w:hint="eastAsia"/>
        </w:rPr>
        <w:t>万元封顶。</w:t>
      </w:r>
    </w:p>
    <w:p w14:paraId="26545386"/>
    <w:p w14:paraId="3E060CF5"/>
    <w:p w14:paraId="2EA2D9BF">
      <w:pPr>
        <w:widowControl/>
        <w:suppressAutoHyphens w:val="0"/>
        <w:spacing w:line="240" w:lineRule="auto"/>
        <w:ind w:firstLine="0" w:firstLineChars="0"/>
        <w:jc w:val="left"/>
      </w:pPr>
      <w:r>
        <w:br w:type="page"/>
      </w:r>
    </w:p>
    <w:p w14:paraId="49105CC2"/>
    <w:p w14:paraId="0FA68146">
      <w:pPr>
        <w:pStyle w:val="40"/>
      </w:pPr>
      <w:bookmarkStart w:id="94" w:name="_Toc76743870"/>
      <w:r>
        <w:rPr>
          <w:rFonts w:hint="eastAsia"/>
        </w:rPr>
        <w:t xml:space="preserve">附件四 </w:t>
      </w:r>
      <w:r>
        <w:t xml:space="preserve"> </w:t>
      </w:r>
      <w:r>
        <w:rPr>
          <w:rFonts w:hint="eastAsia"/>
        </w:rPr>
        <w:t>面向未来的国际目标比对</w:t>
      </w:r>
      <w:bookmarkEnd w:id="94"/>
    </w:p>
    <w:p w14:paraId="6E7D3E0C">
      <w:r>
        <w:rPr>
          <w:rFonts w:hint="eastAsia"/>
        </w:rPr>
        <w:t>工业革命以来，人类生产活动排放了大量的温室气体，大气温室气体浓度大幅增加，温室效应增强，从而引起全球气候变暖。全球气候变化问题引起了国际社会的普遍关注，多个国家和国际组织也相继出台了应对气候变化的战略规划或法律规定。</w:t>
      </w:r>
    </w:p>
    <w:p w14:paraId="0CC451C1">
      <w:pPr>
        <w:pStyle w:val="57"/>
      </w:pPr>
      <w:r>
        <w:rPr>
          <w:rFonts w:hint="eastAsia"/>
        </w:rPr>
        <w:t>一、应对气候变化战略规划目标</w:t>
      </w:r>
    </w:p>
    <w:p w14:paraId="5D04854F">
      <w:r>
        <w:t>1997年12月由联合国气候变化框架公约参加国三次会议制定的《京都议定书》在日本京都获得通过，《京都议定书》提出发达国家从2005年开始承担减少碳排放量的义务，而发展中国家则从2012年开始承担减排义务。2015年11月30日至12月11日，《联合国气候变化框架公约》第21次缔约方会议会暨《京都议定书》第11次缔约方大会（简称第21届联合国气候变化大会）在法国首都巴黎召开（巴黎大会），有184个国家提交了应对气候变化“国家自主贡献”文件，涵盖全球碳排放量的97.9%，《联合国气候变化框架公约》近200个缔约方一致同意通过《巴黎协议》，协定将为2020年后全球应对气候变化行动做出安排，《巴黎协议》的达成标志着2020年后的全球气候治理将进入一个前所未有的新阶段，具有里程碑式的非凡意义。</w:t>
      </w:r>
    </w:p>
    <w:p w14:paraId="43278200">
      <w:r>
        <w:rPr>
          <w:rFonts w:hint="eastAsia"/>
        </w:rPr>
        <w:t>为履行《京都议定书》的目标任务，欧盟委员会于</w:t>
      </w:r>
      <w:r>
        <w:t>2007年３月公布了“欧盟2020年气候与能源一揽子计划”（The EU 2020 Climate and Energy Package），并于2008年1月起正式在欧盟成员国内实施。“欧盟2020年气候与能源一揽子计划”中提出的“20-20-20”目标是：与1990年相比，到2020年欧盟温室气体排放量下降20%，可再生能源在能源总消费中的占比提高20%，能源效率提高20%。2014年1月22日欧盟委员会公布的“欧盟2020-2030年气候与能源政策框架”明确提出，到2030年欧盟向低碳经济转型应达到的三大节能减排目标:一是欧盟温室气体减排目标，以1990年为基准年，将温室气体排放量减少40%;二是可再生能源目标，在能源消费结构中的比重至少提高到27%;三是进一步提高能效目标。与“20-20-20”目标相比，新政策框架提高了量化的减排目标和可再生能源目标，在提高能效方面却不再作量化规定。辅之以在欧盟层面上制定了提高能效的指导性政策框架，赋予了欧盟成员国在未来提高能效目标上更大的自主权和灵活性。</w:t>
      </w:r>
    </w:p>
    <w:p w14:paraId="1FB37D05">
      <w:r>
        <w:t>2008年英国率先颁布了应对气候变化的专项立法《气候变化法》，系统规定</w:t>
      </w:r>
      <w:r>
        <w:rPr>
          <w:rFonts w:hint="eastAsia"/>
        </w:rPr>
        <w:t>英国应对气候变化的法律制度框架。同年，英国批准了《气候变化法案（</w:t>
      </w:r>
      <w:r>
        <w:t>Climate Change Act）》，这使英国成为世界上首</w:t>
      </w:r>
      <w:r>
        <w:rPr>
          <w:rFonts w:hint="eastAsia"/>
        </w:rPr>
        <w:t>个将温室气体减排目标写进法律的国家。按照该法律，英国本届及下届政府必须致力于削减二氧化碳以及其它温室气体的排放，到</w:t>
      </w:r>
      <w:r>
        <w:t>2050年达到减排80%的目标。</w:t>
      </w:r>
    </w:p>
    <w:p w14:paraId="38E98862">
      <w:r>
        <w:rPr>
          <w:rFonts w:hint="eastAsia"/>
        </w:rPr>
        <w:t>德国应对气候变化主要通过立法手段：</w:t>
      </w:r>
      <w:r>
        <w:t>2003年颁布了《可再生能源优化法》，2004年颁布了《可再生能源法修订案》，根据此法，到2020年，德国的可再生能源发电量占总发电量的20%。德国联邦政府出于“应对气候变化和维护能源安全”两个目的，于2007年通过了“能源利用和气候保护一揽子方案”。该方案是德国政府气候保护政策的指导性文件，包括转变经济、发展技术、制定法律、开展合作等29项具体措施，其主要目的是提高能源效率和促成可再生能源的更广泛的利用。在气候保护方面，方案最主要目标之一是2020年将温室气体排放在1990年的基础上降低40%。</w:t>
      </w:r>
    </w:p>
    <w:p w14:paraId="25032590">
      <w:r>
        <w:t>2000年法国颁布了《控制温室效应国家计划》，提出目标：在2008-2012年期间，将《京都议定书》规定的六种温室气体的排放总量限制在1990年的1.44亿吨以下。2005年法国发布了《法国适应气候变化战略》，将气候变化风险的科学评估与实施适应行动计划有机地结合起来，设立了四个总体目标：优先考虑公共安全与健康，保护人员和物品；考虑社会各方面问题，在风险到来之前缓和不平等现象；降低成本并使收益最大化；保护自然环境。</w:t>
      </w:r>
    </w:p>
    <w:p w14:paraId="69A84ECF">
      <w:r>
        <w:t>2009年美国众议院通过了《美国清洁能源与安全法案》，表明美国的气候政策迈出了积极一步。该法案内容主要包括：确立“总量控制与交易”制度、清洁能源条款、能效标准、建设碳捕集与封存设施以及其他条款等。其中设定</w:t>
      </w:r>
      <w:r>
        <w:rPr>
          <w:rFonts w:hint="eastAsia"/>
        </w:rPr>
        <w:t>了碳减排目标，相对于</w:t>
      </w:r>
      <w:r>
        <w:t>2005年的排放水平，到2020年削减17％（相当于1990年水平削减3.2％），到2050年削减83％（相当于1990年水平削减80.2％）。2013年6月25日，美国宣布将实施“气候行动计划”，这是美国第一个旨在减少气候变化风险的国家级计划。该计划的第一部分拟定了减少碳排放的政策框架；第二部分制定了美国将采取的具体行动，以应对气候变化带来的负面冲击；第三部分是美国准备协调国内各项政策与行动，以引领全球应对气候变化。美国定下的目标是2025年前使温室气体排放水平在2005年的基础上降低26-28%。清洁能源计划是美国</w:t>
      </w:r>
      <w:r>
        <w:rPr>
          <w:rFonts w:hint="eastAsia"/>
        </w:rPr>
        <w:t>环境保护署史上最复杂的一次规则制订，旨在实现</w:t>
      </w:r>
      <w:r>
        <w:t>2030年前将发电产生的二氧化碳排放在2005年的基础上减少32%。这项规定是基于每个州在以下三个方面所能取得的成绩而建立的：让煤炭发电更高效、使用天然气代替以及增加可再生能源的使用。</w:t>
      </w:r>
    </w:p>
    <w:p w14:paraId="07DEDA62">
      <w:r>
        <w:t>2014年2月28日，韩国环境部敲定温室气体减排路线图，计划到2020年减排2.33亿吨二氧化碳当量，这相当于韩国温室气体排放量</w:t>
      </w:r>
      <w:r>
        <w:rPr>
          <w:rFonts w:hint="eastAsia"/>
        </w:rPr>
        <w:t>展望值</w:t>
      </w:r>
      <w:r>
        <w:t>(7.76亿吨</w:t>
      </w:r>
      <w:r>
        <w:rPr>
          <w:rFonts w:hint="eastAsia"/>
        </w:rPr>
        <w:t>二氧化碳当量</w:t>
      </w:r>
      <w:r>
        <w:t>)的30%。并针对产业、建筑物和运输等7个部门提出了减排目标，其中运输(34.3%)、建筑物(26.9%)、发电(26.7%)、公共(25.0%)、产业(18.5%)、废弃物(12.3%)、农业和渔业(5.2%)为序。2015年6月30日，韩国环保部、贸易能源部、财政部发布联合声明，宣布韩国2030年温室气体减排目标最终方案，在现有日常水平上减排37%，较之前的减排15-30%的目标有所提高。</w:t>
      </w:r>
    </w:p>
    <w:p w14:paraId="419A178D">
      <w:r>
        <w:rPr>
          <w:rFonts w:hint="eastAsia"/>
        </w:rPr>
        <w:t>表</w:t>
      </w:r>
      <w:r>
        <w:t xml:space="preserve">8-8 </w:t>
      </w:r>
      <w:r>
        <w:rPr>
          <w:rFonts w:hint="eastAsia"/>
        </w:rPr>
        <w:t>国际应对气候变化战略规划目标对比</w:t>
      </w:r>
    </w:p>
    <w:tbl>
      <w:tblPr>
        <w:tblStyle w:val="21"/>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2082"/>
        <w:gridCol w:w="1121"/>
        <w:gridCol w:w="4221"/>
      </w:tblGrid>
      <w:tr w14:paraId="447F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blHeader/>
          <w:jc w:val="center"/>
        </w:trPr>
        <w:tc>
          <w:tcPr>
            <w:tcW w:w="749" w:type="pct"/>
            <w:tcBorders>
              <w:top w:val="single" w:color="auto" w:sz="4" w:space="0"/>
              <w:left w:val="single" w:color="auto" w:sz="4" w:space="0"/>
              <w:bottom w:val="single" w:color="auto" w:sz="4" w:space="0"/>
              <w:right w:val="single" w:color="auto" w:sz="4" w:space="0"/>
            </w:tcBorders>
            <w:shd w:val="clear" w:color="auto" w:fill="auto"/>
            <w:vAlign w:val="center"/>
          </w:tcPr>
          <w:p w14:paraId="643B4F95">
            <w:pPr>
              <w:pStyle w:val="40"/>
            </w:pPr>
            <w:r>
              <w:rPr>
                <w:rFonts w:hint="eastAsia"/>
              </w:rPr>
              <w:t>国家或地区</w:t>
            </w:r>
          </w:p>
        </w:tc>
        <w:tc>
          <w:tcPr>
            <w:tcW w:w="1192" w:type="pct"/>
            <w:tcBorders>
              <w:top w:val="single" w:color="auto" w:sz="4" w:space="0"/>
              <w:left w:val="single" w:color="auto" w:sz="4" w:space="0"/>
              <w:bottom w:val="single" w:color="auto" w:sz="4" w:space="0"/>
              <w:right w:val="single" w:color="auto" w:sz="4" w:space="0"/>
            </w:tcBorders>
            <w:shd w:val="clear" w:color="auto" w:fill="auto"/>
            <w:vAlign w:val="center"/>
          </w:tcPr>
          <w:p w14:paraId="32712FD1">
            <w:pPr>
              <w:pStyle w:val="40"/>
            </w:pPr>
            <w:r>
              <w:rPr>
                <w:rFonts w:hint="eastAsia"/>
              </w:rPr>
              <w:t>法规规划</w:t>
            </w: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14:paraId="5F0E9A6F">
            <w:pPr>
              <w:pStyle w:val="40"/>
            </w:pPr>
            <w:r>
              <w:rPr>
                <w:rFonts w:hint="eastAsia"/>
              </w:rPr>
              <w:t>发布年份</w:t>
            </w:r>
          </w:p>
        </w:tc>
        <w:tc>
          <w:tcPr>
            <w:tcW w:w="2416" w:type="pct"/>
            <w:tcBorders>
              <w:top w:val="single" w:color="auto" w:sz="4" w:space="0"/>
              <w:left w:val="single" w:color="auto" w:sz="4" w:space="0"/>
              <w:bottom w:val="single" w:color="auto" w:sz="4" w:space="0"/>
              <w:right w:val="single" w:color="auto" w:sz="4" w:space="0"/>
            </w:tcBorders>
            <w:shd w:val="clear" w:color="auto" w:fill="auto"/>
            <w:vAlign w:val="center"/>
          </w:tcPr>
          <w:p w14:paraId="4419F218">
            <w:pPr>
              <w:pStyle w:val="40"/>
            </w:pPr>
            <w:r>
              <w:rPr>
                <w:rFonts w:hint="eastAsia"/>
              </w:rPr>
              <w:t>指标内容</w:t>
            </w:r>
          </w:p>
        </w:tc>
      </w:tr>
      <w:tr w14:paraId="0B75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restart"/>
            <w:tcBorders>
              <w:top w:val="single" w:color="auto" w:sz="4" w:space="0"/>
              <w:left w:val="single" w:color="auto" w:sz="4" w:space="0"/>
              <w:bottom w:val="single" w:color="auto" w:sz="4" w:space="0"/>
              <w:right w:val="single" w:color="auto" w:sz="4" w:space="0"/>
            </w:tcBorders>
            <w:vAlign w:val="center"/>
          </w:tcPr>
          <w:p w14:paraId="11CEE97A">
            <w:pPr>
              <w:pStyle w:val="40"/>
            </w:pPr>
            <w:r>
              <w:rPr>
                <w:rFonts w:hint="eastAsia"/>
              </w:rPr>
              <w:t>欧盟</w:t>
            </w:r>
          </w:p>
        </w:tc>
        <w:tc>
          <w:tcPr>
            <w:tcW w:w="1192" w:type="pct"/>
            <w:tcBorders>
              <w:top w:val="single" w:color="auto" w:sz="4" w:space="0"/>
              <w:left w:val="single" w:color="auto" w:sz="4" w:space="0"/>
              <w:bottom w:val="single" w:color="auto" w:sz="4" w:space="0"/>
              <w:right w:val="single" w:color="auto" w:sz="4" w:space="0"/>
            </w:tcBorders>
            <w:vAlign w:val="center"/>
          </w:tcPr>
          <w:p w14:paraId="37FCF8D8">
            <w:pPr>
              <w:pStyle w:val="40"/>
            </w:pPr>
            <w:r>
              <w:rPr>
                <w:rFonts w:hint="eastAsia"/>
              </w:rPr>
              <w:t>欧盟</w:t>
            </w:r>
            <w:r>
              <w:t>2020</w:t>
            </w:r>
            <w:r>
              <w:rPr>
                <w:rFonts w:hint="eastAsia"/>
              </w:rPr>
              <w:t>年气候与能源一揽子计划</w:t>
            </w:r>
          </w:p>
        </w:tc>
        <w:tc>
          <w:tcPr>
            <w:tcW w:w="642" w:type="pct"/>
            <w:tcBorders>
              <w:top w:val="single" w:color="auto" w:sz="4" w:space="0"/>
              <w:left w:val="single" w:color="auto" w:sz="4" w:space="0"/>
              <w:bottom w:val="single" w:color="auto" w:sz="4" w:space="0"/>
              <w:right w:val="single" w:color="auto" w:sz="4" w:space="0"/>
            </w:tcBorders>
            <w:vAlign w:val="center"/>
          </w:tcPr>
          <w:p w14:paraId="6DB7AEFD">
            <w:pPr>
              <w:pStyle w:val="40"/>
            </w:pPr>
            <w:r>
              <w:t>2007</w:t>
            </w:r>
          </w:p>
        </w:tc>
        <w:tc>
          <w:tcPr>
            <w:tcW w:w="2416" w:type="pct"/>
            <w:tcBorders>
              <w:top w:val="single" w:color="auto" w:sz="4" w:space="0"/>
              <w:left w:val="single" w:color="auto" w:sz="4" w:space="0"/>
              <w:bottom w:val="single" w:color="auto" w:sz="4" w:space="0"/>
              <w:right w:val="single" w:color="auto" w:sz="4" w:space="0"/>
            </w:tcBorders>
            <w:vAlign w:val="center"/>
          </w:tcPr>
          <w:p w14:paraId="3F0279DD">
            <w:pPr>
              <w:pStyle w:val="40"/>
            </w:pPr>
            <w:r>
              <w:rPr>
                <w:rFonts w:hint="eastAsia"/>
              </w:rPr>
              <w:t>与</w:t>
            </w:r>
            <w:r>
              <w:t>1990</w:t>
            </w:r>
            <w:r>
              <w:rPr>
                <w:rFonts w:hint="eastAsia"/>
              </w:rPr>
              <w:t>年相比，到</w:t>
            </w:r>
            <w:r>
              <w:t>2020</w:t>
            </w:r>
            <w:r>
              <w:rPr>
                <w:rFonts w:hint="eastAsia"/>
              </w:rPr>
              <w:t>年欧盟温室气体排放量下降</w:t>
            </w:r>
            <w:r>
              <w:t>20%</w:t>
            </w:r>
            <w:r>
              <w:rPr>
                <w:rFonts w:hint="eastAsia"/>
              </w:rPr>
              <w:t>，可再生能源在能源总消费中的占比提高</w:t>
            </w:r>
            <w:r>
              <w:t>20%</w:t>
            </w:r>
            <w:r>
              <w:rPr>
                <w:rFonts w:hint="eastAsia"/>
              </w:rPr>
              <w:t>，能源效率提高</w:t>
            </w:r>
            <w:r>
              <w:t>20%</w:t>
            </w:r>
          </w:p>
        </w:tc>
      </w:tr>
      <w:tr w14:paraId="292F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continue"/>
            <w:tcBorders>
              <w:top w:val="single" w:color="auto" w:sz="4" w:space="0"/>
              <w:left w:val="single" w:color="auto" w:sz="4" w:space="0"/>
              <w:bottom w:val="single" w:color="auto" w:sz="4" w:space="0"/>
              <w:right w:val="single" w:color="auto" w:sz="4" w:space="0"/>
            </w:tcBorders>
            <w:vAlign w:val="center"/>
          </w:tcPr>
          <w:p w14:paraId="0F142C10">
            <w:pPr>
              <w:pStyle w:val="40"/>
            </w:pPr>
          </w:p>
        </w:tc>
        <w:tc>
          <w:tcPr>
            <w:tcW w:w="1192" w:type="pct"/>
            <w:tcBorders>
              <w:top w:val="single" w:color="auto" w:sz="4" w:space="0"/>
              <w:left w:val="single" w:color="auto" w:sz="4" w:space="0"/>
              <w:bottom w:val="single" w:color="auto" w:sz="4" w:space="0"/>
              <w:right w:val="single" w:color="auto" w:sz="4" w:space="0"/>
            </w:tcBorders>
            <w:vAlign w:val="center"/>
          </w:tcPr>
          <w:p w14:paraId="40465264">
            <w:pPr>
              <w:pStyle w:val="40"/>
            </w:pPr>
            <w:r>
              <w:rPr>
                <w:rFonts w:hint="eastAsia"/>
              </w:rPr>
              <w:t>欧盟</w:t>
            </w:r>
            <w:r>
              <w:t>2020-2030</w:t>
            </w:r>
            <w:r>
              <w:rPr>
                <w:rFonts w:hint="eastAsia"/>
              </w:rPr>
              <w:t>年气候与能源政策框架</w:t>
            </w:r>
          </w:p>
        </w:tc>
        <w:tc>
          <w:tcPr>
            <w:tcW w:w="642" w:type="pct"/>
            <w:tcBorders>
              <w:top w:val="single" w:color="auto" w:sz="4" w:space="0"/>
              <w:left w:val="single" w:color="auto" w:sz="4" w:space="0"/>
              <w:bottom w:val="single" w:color="auto" w:sz="4" w:space="0"/>
              <w:right w:val="single" w:color="auto" w:sz="4" w:space="0"/>
            </w:tcBorders>
            <w:vAlign w:val="center"/>
          </w:tcPr>
          <w:p w14:paraId="7400909C">
            <w:pPr>
              <w:pStyle w:val="40"/>
            </w:pPr>
            <w:r>
              <w:t>2014</w:t>
            </w:r>
          </w:p>
        </w:tc>
        <w:tc>
          <w:tcPr>
            <w:tcW w:w="2416" w:type="pct"/>
            <w:tcBorders>
              <w:top w:val="single" w:color="auto" w:sz="4" w:space="0"/>
              <w:left w:val="single" w:color="auto" w:sz="4" w:space="0"/>
              <w:bottom w:val="single" w:color="auto" w:sz="4" w:space="0"/>
              <w:right w:val="single" w:color="auto" w:sz="4" w:space="0"/>
            </w:tcBorders>
            <w:vAlign w:val="center"/>
          </w:tcPr>
          <w:p w14:paraId="033E36B5">
            <w:pPr>
              <w:pStyle w:val="40"/>
            </w:pPr>
            <w:r>
              <w:rPr>
                <w:rFonts w:hint="eastAsia"/>
              </w:rPr>
              <w:t>将温室气体排放量减少</w:t>
            </w:r>
            <w:r>
              <w:t>40%;</w:t>
            </w:r>
            <w:r>
              <w:rPr>
                <w:rFonts w:hint="eastAsia"/>
              </w:rPr>
              <w:t>二是可再生能源目标，在能源消费结构中的比重至少提高到</w:t>
            </w:r>
            <w:r>
              <w:t>27%;</w:t>
            </w:r>
            <w:r>
              <w:rPr>
                <w:rFonts w:hint="eastAsia"/>
              </w:rPr>
              <w:t>三是进一步提高能效目标。</w:t>
            </w:r>
          </w:p>
        </w:tc>
      </w:tr>
      <w:tr w14:paraId="4DB0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tcBorders>
              <w:top w:val="single" w:color="auto" w:sz="4" w:space="0"/>
              <w:left w:val="single" w:color="auto" w:sz="4" w:space="0"/>
              <w:bottom w:val="single" w:color="auto" w:sz="4" w:space="0"/>
              <w:right w:val="single" w:color="auto" w:sz="4" w:space="0"/>
            </w:tcBorders>
            <w:vAlign w:val="center"/>
          </w:tcPr>
          <w:p w14:paraId="7C8A6AEB">
            <w:pPr>
              <w:pStyle w:val="40"/>
            </w:pPr>
            <w:r>
              <w:rPr>
                <w:rFonts w:hint="eastAsia"/>
              </w:rPr>
              <w:t>英国</w:t>
            </w:r>
          </w:p>
        </w:tc>
        <w:tc>
          <w:tcPr>
            <w:tcW w:w="1192" w:type="pct"/>
            <w:tcBorders>
              <w:top w:val="single" w:color="auto" w:sz="4" w:space="0"/>
              <w:left w:val="single" w:color="auto" w:sz="4" w:space="0"/>
              <w:bottom w:val="single" w:color="auto" w:sz="4" w:space="0"/>
              <w:right w:val="single" w:color="auto" w:sz="4" w:space="0"/>
            </w:tcBorders>
            <w:vAlign w:val="center"/>
          </w:tcPr>
          <w:p w14:paraId="7E75E1D1">
            <w:pPr>
              <w:pStyle w:val="40"/>
            </w:pPr>
            <w:r>
              <w:rPr>
                <w:rFonts w:hint="eastAsia"/>
              </w:rPr>
              <w:t>《气候变化法案（</w:t>
            </w:r>
            <w:r>
              <w:t>Climate Change Act</w:t>
            </w:r>
            <w:r>
              <w:rPr>
                <w:rFonts w:hint="eastAsia"/>
              </w:rPr>
              <w:t>）》</w:t>
            </w:r>
          </w:p>
        </w:tc>
        <w:tc>
          <w:tcPr>
            <w:tcW w:w="642" w:type="pct"/>
            <w:tcBorders>
              <w:top w:val="single" w:color="auto" w:sz="4" w:space="0"/>
              <w:left w:val="single" w:color="auto" w:sz="4" w:space="0"/>
              <w:bottom w:val="single" w:color="auto" w:sz="4" w:space="0"/>
              <w:right w:val="single" w:color="auto" w:sz="4" w:space="0"/>
            </w:tcBorders>
            <w:vAlign w:val="center"/>
          </w:tcPr>
          <w:p w14:paraId="6E2C8E8D">
            <w:pPr>
              <w:pStyle w:val="40"/>
            </w:pPr>
            <w:r>
              <w:t>2008</w:t>
            </w:r>
          </w:p>
        </w:tc>
        <w:tc>
          <w:tcPr>
            <w:tcW w:w="2416" w:type="pct"/>
            <w:tcBorders>
              <w:top w:val="single" w:color="auto" w:sz="4" w:space="0"/>
              <w:left w:val="single" w:color="auto" w:sz="4" w:space="0"/>
              <w:bottom w:val="single" w:color="auto" w:sz="4" w:space="0"/>
              <w:right w:val="single" w:color="auto" w:sz="4" w:space="0"/>
            </w:tcBorders>
            <w:vAlign w:val="center"/>
          </w:tcPr>
          <w:p w14:paraId="19254642">
            <w:pPr>
              <w:pStyle w:val="40"/>
            </w:pPr>
            <w:r>
              <w:rPr>
                <w:rFonts w:hint="eastAsia"/>
              </w:rPr>
              <w:t>到</w:t>
            </w:r>
            <w:r>
              <w:t>2050</w:t>
            </w:r>
            <w:r>
              <w:rPr>
                <w:rFonts w:hint="eastAsia"/>
              </w:rPr>
              <w:t>年达到减排</w:t>
            </w:r>
            <w:r>
              <w:t>80%</w:t>
            </w:r>
            <w:r>
              <w:rPr>
                <w:rFonts w:hint="eastAsia"/>
              </w:rPr>
              <w:t>的目标。</w:t>
            </w:r>
          </w:p>
        </w:tc>
      </w:tr>
      <w:tr w14:paraId="2822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restart"/>
            <w:tcBorders>
              <w:top w:val="single" w:color="auto" w:sz="4" w:space="0"/>
              <w:left w:val="single" w:color="auto" w:sz="4" w:space="0"/>
              <w:bottom w:val="single" w:color="auto" w:sz="4" w:space="0"/>
              <w:right w:val="single" w:color="auto" w:sz="4" w:space="0"/>
            </w:tcBorders>
            <w:vAlign w:val="center"/>
          </w:tcPr>
          <w:p w14:paraId="347BC891">
            <w:pPr>
              <w:pStyle w:val="40"/>
            </w:pPr>
            <w:r>
              <w:rPr>
                <w:rFonts w:hint="eastAsia"/>
              </w:rPr>
              <w:t>德国</w:t>
            </w:r>
          </w:p>
        </w:tc>
        <w:tc>
          <w:tcPr>
            <w:tcW w:w="1192" w:type="pct"/>
            <w:tcBorders>
              <w:top w:val="single" w:color="auto" w:sz="4" w:space="0"/>
              <w:left w:val="single" w:color="auto" w:sz="4" w:space="0"/>
              <w:bottom w:val="single" w:color="auto" w:sz="4" w:space="0"/>
              <w:right w:val="single" w:color="auto" w:sz="4" w:space="0"/>
            </w:tcBorders>
            <w:vAlign w:val="center"/>
          </w:tcPr>
          <w:p w14:paraId="1DD24ECB">
            <w:pPr>
              <w:pStyle w:val="40"/>
            </w:pPr>
            <w:r>
              <w:rPr>
                <w:rFonts w:hint="eastAsia"/>
              </w:rPr>
              <w:t>《可再生能源优化法》</w:t>
            </w:r>
          </w:p>
        </w:tc>
        <w:tc>
          <w:tcPr>
            <w:tcW w:w="642" w:type="pct"/>
            <w:tcBorders>
              <w:top w:val="single" w:color="auto" w:sz="4" w:space="0"/>
              <w:left w:val="single" w:color="auto" w:sz="4" w:space="0"/>
              <w:bottom w:val="single" w:color="auto" w:sz="4" w:space="0"/>
              <w:right w:val="single" w:color="auto" w:sz="4" w:space="0"/>
            </w:tcBorders>
            <w:vAlign w:val="center"/>
          </w:tcPr>
          <w:p w14:paraId="340348F8">
            <w:pPr>
              <w:pStyle w:val="40"/>
            </w:pPr>
            <w:r>
              <w:t>2004</w:t>
            </w:r>
          </w:p>
        </w:tc>
        <w:tc>
          <w:tcPr>
            <w:tcW w:w="2416" w:type="pct"/>
            <w:tcBorders>
              <w:top w:val="single" w:color="auto" w:sz="4" w:space="0"/>
              <w:left w:val="single" w:color="auto" w:sz="4" w:space="0"/>
              <w:bottom w:val="single" w:color="auto" w:sz="4" w:space="0"/>
              <w:right w:val="single" w:color="auto" w:sz="4" w:space="0"/>
            </w:tcBorders>
            <w:vAlign w:val="center"/>
          </w:tcPr>
          <w:p w14:paraId="5D87533E">
            <w:pPr>
              <w:pStyle w:val="40"/>
            </w:pPr>
            <w:r>
              <w:rPr>
                <w:rFonts w:hint="eastAsia"/>
              </w:rPr>
              <w:t>到</w:t>
            </w:r>
            <w:r>
              <w:t>2020</w:t>
            </w:r>
            <w:r>
              <w:rPr>
                <w:rFonts w:hint="eastAsia"/>
              </w:rPr>
              <w:t>年，德国的可再生能源发电量占总发电量的</w:t>
            </w:r>
            <w:r>
              <w:t>20%</w:t>
            </w:r>
          </w:p>
        </w:tc>
      </w:tr>
      <w:tr w14:paraId="7D2A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continue"/>
            <w:tcBorders>
              <w:top w:val="single" w:color="auto" w:sz="4" w:space="0"/>
              <w:left w:val="single" w:color="auto" w:sz="4" w:space="0"/>
              <w:bottom w:val="single" w:color="auto" w:sz="4" w:space="0"/>
              <w:right w:val="single" w:color="auto" w:sz="4" w:space="0"/>
            </w:tcBorders>
            <w:vAlign w:val="center"/>
          </w:tcPr>
          <w:p w14:paraId="330EF982">
            <w:pPr>
              <w:pStyle w:val="40"/>
            </w:pPr>
          </w:p>
        </w:tc>
        <w:tc>
          <w:tcPr>
            <w:tcW w:w="1192" w:type="pct"/>
            <w:tcBorders>
              <w:top w:val="single" w:color="auto" w:sz="4" w:space="0"/>
              <w:left w:val="single" w:color="auto" w:sz="4" w:space="0"/>
              <w:bottom w:val="single" w:color="auto" w:sz="4" w:space="0"/>
              <w:right w:val="single" w:color="auto" w:sz="4" w:space="0"/>
            </w:tcBorders>
            <w:vAlign w:val="center"/>
          </w:tcPr>
          <w:p w14:paraId="71E48CE8">
            <w:pPr>
              <w:pStyle w:val="40"/>
            </w:pPr>
            <w:r>
              <w:rPr>
                <w:rFonts w:hint="eastAsia"/>
              </w:rPr>
              <w:t>能源利用和气候保护一揽子方案</w:t>
            </w:r>
          </w:p>
        </w:tc>
        <w:tc>
          <w:tcPr>
            <w:tcW w:w="642" w:type="pct"/>
            <w:tcBorders>
              <w:top w:val="single" w:color="auto" w:sz="4" w:space="0"/>
              <w:left w:val="single" w:color="auto" w:sz="4" w:space="0"/>
              <w:bottom w:val="single" w:color="auto" w:sz="4" w:space="0"/>
              <w:right w:val="single" w:color="auto" w:sz="4" w:space="0"/>
            </w:tcBorders>
            <w:vAlign w:val="center"/>
          </w:tcPr>
          <w:p w14:paraId="5896B0CA">
            <w:pPr>
              <w:pStyle w:val="40"/>
            </w:pPr>
            <w:r>
              <w:t>2007</w:t>
            </w:r>
          </w:p>
        </w:tc>
        <w:tc>
          <w:tcPr>
            <w:tcW w:w="2416" w:type="pct"/>
            <w:tcBorders>
              <w:top w:val="single" w:color="auto" w:sz="4" w:space="0"/>
              <w:left w:val="single" w:color="auto" w:sz="4" w:space="0"/>
              <w:bottom w:val="single" w:color="auto" w:sz="4" w:space="0"/>
              <w:right w:val="single" w:color="auto" w:sz="4" w:space="0"/>
            </w:tcBorders>
            <w:vAlign w:val="center"/>
          </w:tcPr>
          <w:p w14:paraId="654F136D">
            <w:pPr>
              <w:pStyle w:val="40"/>
            </w:pPr>
            <w:r>
              <w:t>2020</w:t>
            </w:r>
            <w:r>
              <w:rPr>
                <w:rFonts w:hint="eastAsia"/>
              </w:rPr>
              <w:t>年将温室气体排放在</w:t>
            </w:r>
            <w:r>
              <w:t>1990</w:t>
            </w:r>
            <w:r>
              <w:rPr>
                <w:rFonts w:hint="eastAsia"/>
              </w:rPr>
              <w:t>年的基础上降低</w:t>
            </w:r>
            <w:r>
              <w:t>40%</w:t>
            </w:r>
          </w:p>
        </w:tc>
      </w:tr>
      <w:tr w14:paraId="7F91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restart"/>
            <w:tcBorders>
              <w:top w:val="single" w:color="auto" w:sz="4" w:space="0"/>
              <w:left w:val="single" w:color="auto" w:sz="4" w:space="0"/>
              <w:bottom w:val="single" w:color="auto" w:sz="4" w:space="0"/>
              <w:right w:val="single" w:color="auto" w:sz="4" w:space="0"/>
            </w:tcBorders>
            <w:vAlign w:val="center"/>
          </w:tcPr>
          <w:p w14:paraId="27A74211">
            <w:pPr>
              <w:pStyle w:val="40"/>
            </w:pPr>
            <w:r>
              <w:rPr>
                <w:rFonts w:hint="eastAsia"/>
              </w:rPr>
              <w:t>法国</w:t>
            </w:r>
          </w:p>
        </w:tc>
        <w:tc>
          <w:tcPr>
            <w:tcW w:w="1192" w:type="pct"/>
            <w:tcBorders>
              <w:top w:val="single" w:color="auto" w:sz="4" w:space="0"/>
              <w:left w:val="single" w:color="auto" w:sz="4" w:space="0"/>
              <w:bottom w:val="single" w:color="auto" w:sz="4" w:space="0"/>
              <w:right w:val="single" w:color="auto" w:sz="4" w:space="0"/>
            </w:tcBorders>
            <w:vAlign w:val="center"/>
          </w:tcPr>
          <w:p w14:paraId="137FFC26">
            <w:pPr>
              <w:pStyle w:val="40"/>
            </w:pPr>
            <w:r>
              <w:rPr>
                <w:rFonts w:hint="eastAsia"/>
              </w:rPr>
              <w:t>《控制温室效应国家计划》</w:t>
            </w:r>
          </w:p>
        </w:tc>
        <w:tc>
          <w:tcPr>
            <w:tcW w:w="642" w:type="pct"/>
            <w:tcBorders>
              <w:top w:val="single" w:color="auto" w:sz="4" w:space="0"/>
              <w:left w:val="single" w:color="auto" w:sz="4" w:space="0"/>
              <w:bottom w:val="single" w:color="auto" w:sz="4" w:space="0"/>
              <w:right w:val="single" w:color="auto" w:sz="4" w:space="0"/>
            </w:tcBorders>
            <w:vAlign w:val="center"/>
          </w:tcPr>
          <w:p w14:paraId="176B234C">
            <w:pPr>
              <w:pStyle w:val="40"/>
            </w:pPr>
            <w:r>
              <w:t>2000</w:t>
            </w:r>
          </w:p>
        </w:tc>
        <w:tc>
          <w:tcPr>
            <w:tcW w:w="2416" w:type="pct"/>
            <w:tcBorders>
              <w:top w:val="single" w:color="auto" w:sz="4" w:space="0"/>
              <w:left w:val="single" w:color="auto" w:sz="4" w:space="0"/>
              <w:bottom w:val="single" w:color="auto" w:sz="4" w:space="0"/>
              <w:right w:val="single" w:color="auto" w:sz="4" w:space="0"/>
            </w:tcBorders>
            <w:vAlign w:val="center"/>
          </w:tcPr>
          <w:p w14:paraId="07CEE8BF">
            <w:pPr>
              <w:pStyle w:val="40"/>
            </w:pPr>
            <w:r>
              <w:rPr>
                <w:rFonts w:hint="eastAsia"/>
              </w:rPr>
              <w:t>在</w:t>
            </w:r>
            <w:r>
              <w:t>2008-2012</w:t>
            </w:r>
            <w:r>
              <w:rPr>
                <w:rFonts w:hint="eastAsia"/>
              </w:rPr>
              <w:t>年期间，将《京都议定书》规定的六种温室气体的排放总量限制在</w:t>
            </w:r>
            <w:r>
              <w:t>1990</w:t>
            </w:r>
            <w:r>
              <w:rPr>
                <w:rFonts w:hint="eastAsia"/>
              </w:rPr>
              <w:t>年的</w:t>
            </w:r>
            <w:r>
              <w:t>1.44</w:t>
            </w:r>
            <w:r>
              <w:rPr>
                <w:rFonts w:hint="eastAsia"/>
              </w:rPr>
              <w:t>亿吨以下</w:t>
            </w:r>
          </w:p>
        </w:tc>
      </w:tr>
      <w:tr w14:paraId="1BF6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continue"/>
            <w:tcBorders>
              <w:top w:val="single" w:color="auto" w:sz="4" w:space="0"/>
              <w:left w:val="single" w:color="auto" w:sz="4" w:space="0"/>
              <w:bottom w:val="single" w:color="auto" w:sz="4" w:space="0"/>
              <w:right w:val="single" w:color="auto" w:sz="4" w:space="0"/>
            </w:tcBorders>
            <w:vAlign w:val="center"/>
          </w:tcPr>
          <w:p w14:paraId="1FC8022F">
            <w:pPr>
              <w:pStyle w:val="40"/>
            </w:pPr>
          </w:p>
        </w:tc>
        <w:tc>
          <w:tcPr>
            <w:tcW w:w="1192" w:type="pct"/>
            <w:tcBorders>
              <w:top w:val="single" w:color="auto" w:sz="4" w:space="0"/>
              <w:left w:val="single" w:color="auto" w:sz="4" w:space="0"/>
              <w:bottom w:val="single" w:color="auto" w:sz="4" w:space="0"/>
              <w:right w:val="single" w:color="auto" w:sz="4" w:space="0"/>
            </w:tcBorders>
            <w:vAlign w:val="center"/>
          </w:tcPr>
          <w:p w14:paraId="5C47F591">
            <w:pPr>
              <w:pStyle w:val="40"/>
            </w:pPr>
            <w:r>
              <w:rPr>
                <w:rFonts w:hint="eastAsia"/>
              </w:rPr>
              <w:t>《法国适应气候变化战略》</w:t>
            </w:r>
          </w:p>
        </w:tc>
        <w:tc>
          <w:tcPr>
            <w:tcW w:w="642" w:type="pct"/>
            <w:tcBorders>
              <w:top w:val="single" w:color="auto" w:sz="4" w:space="0"/>
              <w:left w:val="single" w:color="auto" w:sz="4" w:space="0"/>
              <w:bottom w:val="single" w:color="auto" w:sz="4" w:space="0"/>
              <w:right w:val="single" w:color="auto" w:sz="4" w:space="0"/>
            </w:tcBorders>
            <w:vAlign w:val="center"/>
          </w:tcPr>
          <w:p w14:paraId="230CEF93">
            <w:pPr>
              <w:pStyle w:val="40"/>
            </w:pPr>
            <w:r>
              <w:t>2005</w:t>
            </w:r>
          </w:p>
        </w:tc>
        <w:tc>
          <w:tcPr>
            <w:tcW w:w="2416" w:type="pct"/>
            <w:tcBorders>
              <w:top w:val="single" w:color="auto" w:sz="4" w:space="0"/>
              <w:left w:val="single" w:color="auto" w:sz="4" w:space="0"/>
              <w:bottom w:val="single" w:color="auto" w:sz="4" w:space="0"/>
              <w:right w:val="single" w:color="auto" w:sz="4" w:space="0"/>
            </w:tcBorders>
            <w:vAlign w:val="center"/>
          </w:tcPr>
          <w:p w14:paraId="58B058EA">
            <w:pPr>
              <w:pStyle w:val="40"/>
            </w:pPr>
            <w:r>
              <w:rPr>
                <w:rFonts w:hint="eastAsia"/>
              </w:rPr>
              <w:t>优先考虑公共安全与健康，保护人员和物品；考虑社会各方面问题，在风险到来之前缓和不平等现象；降低成本并使收益最大化；保护自然环境。</w:t>
            </w:r>
          </w:p>
        </w:tc>
      </w:tr>
      <w:tr w14:paraId="41C2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restart"/>
            <w:tcBorders>
              <w:top w:val="single" w:color="auto" w:sz="4" w:space="0"/>
              <w:left w:val="single" w:color="auto" w:sz="4" w:space="0"/>
              <w:bottom w:val="single" w:color="auto" w:sz="4" w:space="0"/>
              <w:right w:val="single" w:color="auto" w:sz="4" w:space="0"/>
            </w:tcBorders>
            <w:vAlign w:val="center"/>
          </w:tcPr>
          <w:p w14:paraId="10457DC6">
            <w:pPr>
              <w:pStyle w:val="40"/>
            </w:pPr>
            <w:r>
              <w:rPr>
                <w:rFonts w:hint="eastAsia"/>
              </w:rPr>
              <w:t>美国</w:t>
            </w:r>
          </w:p>
        </w:tc>
        <w:tc>
          <w:tcPr>
            <w:tcW w:w="1192" w:type="pct"/>
            <w:tcBorders>
              <w:top w:val="single" w:color="auto" w:sz="4" w:space="0"/>
              <w:left w:val="single" w:color="auto" w:sz="4" w:space="0"/>
              <w:bottom w:val="single" w:color="auto" w:sz="4" w:space="0"/>
              <w:right w:val="single" w:color="auto" w:sz="4" w:space="0"/>
            </w:tcBorders>
            <w:vAlign w:val="center"/>
          </w:tcPr>
          <w:p w14:paraId="26D10DED">
            <w:pPr>
              <w:pStyle w:val="40"/>
            </w:pPr>
            <w:r>
              <w:rPr>
                <w:rFonts w:hint="eastAsia"/>
              </w:rPr>
              <w:t>《美国清洁能源与安全法案》</w:t>
            </w:r>
          </w:p>
        </w:tc>
        <w:tc>
          <w:tcPr>
            <w:tcW w:w="642" w:type="pct"/>
            <w:tcBorders>
              <w:top w:val="single" w:color="auto" w:sz="4" w:space="0"/>
              <w:left w:val="single" w:color="auto" w:sz="4" w:space="0"/>
              <w:bottom w:val="single" w:color="auto" w:sz="4" w:space="0"/>
              <w:right w:val="single" w:color="auto" w:sz="4" w:space="0"/>
            </w:tcBorders>
            <w:vAlign w:val="center"/>
          </w:tcPr>
          <w:p w14:paraId="4DF95C0F">
            <w:pPr>
              <w:pStyle w:val="40"/>
            </w:pPr>
            <w:r>
              <w:t>2009</w:t>
            </w:r>
          </w:p>
        </w:tc>
        <w:tc>
          <w:tcPr>
            <w:tcW w:w="2416" w:type="pct"/>
            <w:tcBorders>
              <w:top w:val="single" w:color="auto" w:sz="4" w:space="0"/>
              <w:left w:val="single" w:color="auto" w:sz="4" w:space="0"/>
              <w:bottom w:val="single" w:color="auto" w:sz="4" w:space="0"/>
              <w:right w:val="single" w:color="auto" w:sz="4" w:space="0"/>
            </w:tcBorders>
            <w:vAlign w:val="center"/>
          </w:tcPr>
          <w:p w14:paraId="631E5133">
            <w:pPr>
              <w:pStyle w:val="40"/>
            </w:pPr>
            <w:r>
              <w:rPr>
                <w:rFonts w:hint="eastAsia"/>
              </w:rPr>
              <w:t>相对于</w:t>
            </w:r>
            <w:r>
              <w:t>2005</w:t>
            </w:r>
            <w:r>
              <w:rPr>
                <w:rFonts w:hint="eastAsia"/>
              </w:rPr>
              <w:t>年的排放水平，到</w:t>
            </w:r>
            <w:r>
              <w:t>2020</w:t>
            </w:r>
            <w:r>
              <w:rPr>
                <w:rFonts w:hint="eastAsia"/>
              </w:rPr>
              <w:t>年削减</w:t>
            </w:r>
            <w:r>
              <w:t>17</w:t>
            </w:r>
            <w:r>
              <w:rPr>
                <w:rFonts w:hint="eastAsia"/>
              </w:rPr>
              <w:t>％（相当于</w:t>
            </w:r>
            <w:r>
              <w:t>1990</w:t>
            </w:r>
            <w:r>
              <w:rPr>
                <w:rFonts w:hint="eastAsia"/>
              </w:rPr>
              <w:t>年水平削减</w:t>
            </w:r>
            <w:r>
              <w:t>3.2</w:t>
            </w:r>
            <w:r>
              <w:rPr>
                <w:rFonts w:hint="eastAsia"/>
              </w:rPr>
              <w:t>％），到</w:t>
            </w:r>
            <w:r>
              <w:t>2050</w:t>
            </w:r>
            <w:r>
              <w:rPr>
                <w:rFonts w:hint="eastAsia"/>
              </w:rPr>
              <w:t>年削减</w:t>
            </w:r>
            <w:r>
              <w:t>83</w:t>
            </w:r>
            <w:r>
              <w:rPr>
                <w:rFonts w:hint="eastAsia"/>
              </w:rPr>
              <w:t>％（相当于</w:t>
            </w:r>
            <w:r>
              <w:t>1990</w:t>
            </w:r>
            <w:r>
              <w:rPr>
                <w:rFonts w:hint="eastAsia"/>
              </w:rPr>
              <w:t>年水平削减</w:t>
            </w:r>
            <w:r>
              <w:t>80.2</w:t>
            </w:r>
            <w:r>
              <w:rPr>
                <w:rFonts w:hint="eastAsia"/>
              </w:rPr>
              <w:t>％）。</w:t>
            </w:r>
          </w:p>
        </w:tc>
      </w:tr>
      <w:tr w14:paraId="58DB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continue"/>
            <w:tcBorders>
              <w:top w:val="single" w:color="auto" w:sz="4" w:space="0"/>
              <w:left w:val="single" w:color="auto" w:sz="4" w:space="0"/>
              <w:bottom w:val="single" w:color="auto" w:sz="4" w:space="0"/>
              <w:right w:val="single" w:color="auto" w:sz="4" w:space="0"/>
            </w:tcBorders>
            <w:vAlign w:val="center"/>
          </w:tcPr>
          <w:p w14:paraId="0F20B1F9">
            <w:pPr>
              <w:pStyle w:val="40"/>
            </w:pPr>
          </w:p>
        </w:tc>
        <w:tc>
          <w:tcPr>
            <w:tcW w:w="1192" w:type="pct"/>
            <w:tcBorders>
              <w:top w:val="single" w:color="auto" w:sz="4" w:space="0"/>
              <w:left w:val="single" w:color="auto" w:sz="4" w:space="0"/>
              <w:bottom w:val="single" w:color="auto" w:sz="4" w:space="0"/>
              <w:right w:val="single" w:color="auto" w:sz="4" w:space="0"/>
            </w:tcBorders>
            <w:vAlign w:val="center"/>
          </w:tcPr>
          <w:p w14:paraId="58AAB776">
            <w:pPr>
              <w:pStyle w:val="40"/>
            </w:pPr>
            <w:r>
              <w:rPr>
                <w:rFonts w:hint="eastAsia"/>
              </w:rPr>
              <w:t>气候行动计划</w:t>
            </w:r>
          </w:p>
        </w:tc>
        <w:tc>
          <w:tcPr>
            <w:tcW w:w="642" w:type="pct"/>
            <w:tcBorders>
              <w:top w:val="single" w:color="auto" w:sz="4" w:space="0"/>
              <w:left w:val="single" w:color="auto" w:sz="4" w:space="0"/>
              <w:bottom w:val="single" w:color="auto" w:sz="4" w:space="0"/>
              <w:right w:val="single" w:color="auto" w:sz="4" w:space="0"/>
            </w:tcBorders>
            <w:vAlign w:val="center"/>
          </w:tcPr>
          <w:p w14:paraId="04F96AD6">
            <w:pPr>
              <w:pStyle w:val="40"/>
            </w:pPr>
            <w:r>
              <w:t>2013</w:t>
            </w:r>
          </w:p>
        </w:tc>
        <w:tc>
          <w:tcPr>
            <w:tcW w:w="2416" w:type="pct"/>
            <w:tcBorders>
              <w:top w:val="single" w:color="auto" w:sz="4" w:space="0"/>
              <w:left w:val="single" w:color="auto" w:sz="4" w:space="0"/>
              <w:bottom w:val="single" w:color="auto" w:sz="4" w:space="0"/>
              <w:right w:val="single" w:color="auto" w:sz="4" w:space="0"/>
            </w:tcBorders>
            <w:vAlign w:val="center"/>
          </w:tcPr>
          <w:p w14:paraId="08CB56DB">
            <w:pPr>
              <w:pStyle w:val="40"/>
            </w:pPr>
            <w:r>
              <w:t>2025</w:t>
            </w:r>
            <w:r>
              <w:rPr>
                <w:rFonts w:hint="eastAsia"/>
              </w:rPr>
              <w:t>年前使温室气体排放水平在</w:t>
            </w:r>
            <w:r>
              <w:t>2005</w:t>
            </w:r>
            <w:r>
              <w:rPr>
                <w:rFonts w:hint="eastAsia"/>
              </w:rPr>
              <w:t>年的基础上降低</w:t>
            </w:r>
            <w:r>
              <w:t>26-28%</w:t>
            </w:r>
            <w:r>
              <w:rPr>
                <w:rFonts w:hint="eastAsia"/>
              </w:rPr>
              <w:t>。</w:t>
            </w:r>
          </w:p>
        </w:tc>
      </w:tr>
      <w:tr w14:paraId="2A4D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continue"/>
            <w:tcBorders>
              <w:top w:val="single" w:color="auto" w:sz="4" w:space="0"/>
              <w:left w:val="single" w:color="auto" w:sz="4" w:space="0"/>
              <w:bottom w:val="single" w:color="auto" w:sz="4" w:space="0"/>
              <w:right w:val="single" w:color="auto" w:sz="4" w:space="0"/>
            </w:tcBorders>
            <w:vAlign w:val="center"/>
          </w:tcPr>
          <w:p w14:paraId="51FE403D">
            <w:pPr>
              <w:pStyle w:val="40"/>
            </w:pPr>
          </w:p>
        </w:tc>
        <w:tc>
          <w:tcPr>
            <w:tcW w:w="1192" w:type="pct"/>
            <w:tcBorders>
              <w:top w:val="single" w:color="auto" w:sz="4" w:space="0"/>
              <w:left w:val="single" w:color="auto" w:sz="4" w:space="0"/>
              <w:bottom w:val="single" w:color="auto" w:sz="4" w:space="0"/>
              <w:right w:val="single" w:color="auto" w:sz="4" w:space="0"/>
            </w:tcBorders>
            <w:vAlign w:val="center"/>
          </w:tcPr>
          <w:p w14:paraId="183DC66E">
            <w:pPr>
              <w:pStyle w:val="40"/>
            </w:pPr>
            <w:r>
              <w:rPr>
                <w:rFonts w:hint="eastAsia"/>
              </w:rPr>
              <w:t>清洁能源计划</w:t>
            </w:r>
          </w:p>
        </w:tc>
        <w:tc>
          <w:tcPr>
            <w:tcW w:w="642" w:type="pct"/>
            <w:tcBorders>
              <w:top w:val="single" w:color="auto" w:sz="4" w:space="0"/>
              <w:left w:val="single" w:color="auto" w:sz="4" w:space="0"/>
              <w:bottom w:val="single" w:color="auto" w:sz="4" w:space="0"/>
              <w:right w:val="single" w:color="auto" w:sz="4" w:space="0"/>
            </w:tcBorders>
            <w:vAlign w:val="center"/>
          </w:tcPr>
          <w:p w14:paraId="26D4CD79">
            <w:pPr>
              <w:pStyle w:val="40"/>
            </w:pPr>
            <w:r>
              <w:t>2015</w:t>
            </w:r>
          </w:p>
        </w:tc>
        <w:tc>
          <w:tcPr>
            <w:tcW w:w="2416" w:type="pct"/>
            <w:tcBorders>
              <w:top w:val="single" w:color="auto" w:sz="4" w:space="0"/>
              <w:left w:val="single" w:color="auto" w:sz="4" w:space="0"/>
              <w:bottom w:val="single" w:color="auto" w:sz="4" w:space="0"/>
              <w:right w:val="single" w:color="auto" w:sz="4" w:space="0"/>
            </w:tcBorders>
            <w:vAlign w:val="center"/>
          </w:tcPr>
          <w:p w14:paraId="6C52C1F9">
            <w:pPr>
              <w:pStyle w:val="40"/>
            </w:pPr>
            <w:r>
              <w:t>2030</w:t>
            </w:r>
            <w:r>
              <w:rPr>
                <w:rFonts w:hint="eastAsia"/>
              </w:rPr>
              <w:t>年前将发电产生的二氧化碳排放在</w:t>
            </w:r>
            <w:r>
              <w:t>2005</w:t>
            </w:r>
            <w:r>
              <w:rPr>
                <w:rFonts w:hint="eastAsia"/>
              </w:rPr>
              <w:t>年的基础上减少</w:t>
            </w:r>
            <w:r>
              <w:t>32%</w:t>
            </w:r>
          </w:p>
        </w:tc>
      </w:tr>
      <w:tr w14:paraId="6871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restart"/>
            <w:tcBorders>
              <w:top w:val="single" w:color="auto" w:sz="4" w:space="0"/>
              <w:left w:val="single" w:color="auto" w:sz="4" w:space="0"/>
              <w:bottom w:val="single" w:color="auto" w:sz="4" w:space="0"/>
              <w:right w:val="single" w:color="auto" w:sz="4" w:space="0"/>
            </w:tcBorders>
            <w:vAlign w:val="center"/>
          </w:tcPr>
          <w:p w14:paraId="1ABA0A09">
            <w:pPr>
              <w:pStyle w:val="40"/>
            </w:pPr>
            <w:r>
              <w:rPr>
                <w:rFonts w:hint="eastAsia"/>
              </w:rPr>
              <w:t>韩国</w:t>
            </w:r>
          </w:p>
        </w:tc>
        <w:tc>
          <w:tcPr>
            <w:tcW w:w="1192" w:type="pct"/>
            <w:tcBorders>
              <w:top w:val="single" w:color="auto" w:sz="4" w:space="0"/>
              <w:left w:val="single" w:color="auto" w:sz="4" w:space="0"/>
              <w:bottom w:val="single" w:color="auto" w:sz="4" w:space="0"/>
              <w:right w:val="single" w:color="auto" w:sz="4" w:space="0"/>
            </w:tcBorders>
            <w:vAlign w:val="center"/>
          </w:tcPr>
          <w:p w14:paraId="05A96E26">
            <w:pPr>
              <w:pStyle w:val="40"/>
            </w:pPr>
            <w:r>
              <w:rPr>
                <w:rFonts w:hint="eastAsia"/>
              </w:rPr>
              <w:t>温室气体减排路线图</w:t>
            </w:r>
          </w:p>
        </w:tc>
        <w:tc>
          <w:tcPr>
            <w:tcW w:w="642" w:type="pct"/>
            <w:tcBorders>
              <w:top w:val="single" w:color="auto" w:sz="4" w:space="0"/>
              <w:left w:val="single" w:color="auto" w:sz="4" w:space="0"/>
              <w:bottom w:val="single" w:color="auto" w:sz="4" w:space="0"/>
              <w:right w:val="single" w:color="auto" w:sz="4" w:space="0"/>
            </w:tcBorders>
            <w:vAlign w:val="center"/>
          </w:tcPr>
          <w:p w14:paraId="3C49E1F1">
            <w:pPr>
              <w:pStyle w:val="40"/>
            </w:pPr>
            <w:r>
              <w:t>2014</w:t>
            </w:r>
          </w:p>
        </w:tc>
        <w:tc>
          <w:tcPr>
            <w:tcW w:w="2416" w:type="pct"/>
            <w:tcBorders>
              <w:top w:val="single" w:color="auto" w:sz="4" w:space="0"/>
              <w:left w:val="single" w:color="auto" w:sz="4" w:space="0"/>
              <w:bottom w:val="single" w:color="auto" w:sz="4" w:space="0"/>
              <w:right w:val="single" w:color="auto" w:sz="4" w:space="0"/>
            </w:tcBorders>
            <w:vAlign w:val="center"/>
          </w:tcPr>
          <w:p w14:paraId="666F7A21">
            <w:pPr>
              <w:pStyle w:val="40"/>
            </w:pPr>
            <w:r>
              <w:rPr>
                <w:rFonts w:hint="eastAsia"/>
              </w:rPr>
              <w:t>到</w:t>
            </w:r>
            <w:r>
              <w:t>2020</w:t>
            </w:r>
            <w:r>
              <w:rPr>
                <w:rFonts w:hint="eastAsia"/>
              </w:rPr>
              <w:t>年减排</w:t>
            </w:r>
            <w:r>
              <w:t>2.33</w:t>
            </w:r>
            <w:r>
              <w:rPr>
                <w:rFonts w:hint="eastAsia"/>
              </w:rPr>
              <w:t>亿吨二氧化碳当量，这相当于韩国温室气体排放量展望值</w:t>
            </w:r>
            <w:r>
              <w:t>(7.76</w:t>
            </w:r>
            <w:r>
              <w:rPr>
                <w:rFonts w:hint="eastAsia"/>
              </w:rPr>
              <w:t>亿吨二氧化碳当量</w:t>
            </w:r>
            <w:r>
              <w:t>)</w:t>
            </w:r>
            <w:r>
              <w:rPr>
                <w:rFonts w:hint="eastAsia"/>
              </w:rPr>
              <w:t>的</w:t>
            </w:r>
            <w:r>
              <w:t>30%</w:t>
            </w:r>
          </w:p>
        </w:tc>
      </w:tr>
      <w:tr w14:paraId="70B5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Merge w:val="continue"/>
            <w:tcBorders>
              <w:top w:val="single" w:color="auto" w:sz="4" w:space="0"/>
              <w:left w:val="single" w:color="auto" w:sz="4" w:space="0"/>
              <w:bottom w:val="single" w:color="auto" w:sz="4" w:space="0"/>
              <w:right w:val="single" w:color="auto" w:sz="4" w:space="0"/>
            </w:tcBorders>
            <w:vAlign w:val="center"/>
          </w:tcPr>
          <w:p w14:paraId="122AEA42">
            <w:pPr>
              <w:pStyle w:val="40"/>
            </w:pPr>
          </w:p>
        </w:tc>
        <w:tc>
          <w:tcPr>
            <w:tcW w:w="1192" w:type="pct"/>
            <w:tcBorders>
              <w:top w:val="single" w:color="auto" w:sz="4" w:space="0"/>
              <w:left w:val="single" w:color="auto" w:sz="4" w:space="0"/>
              <w:bottom w:val="single" w:color="auto" w:sz="4" w:space="0"/>
              <w:right w:val="single" w:color="auto" w:sz="4" w:space="0"/>
            </w:tcBorders>
            <w:vAlign w:val="center"/>
          </w:tcPr>
          <w:p w14:paraId="2F861329">
            <w:pPr>
              <w:pStyle w:val="40"/>
            </w:pPr>
            <w:r>
              <w:rPr>
                <w:rFonts w:hint="eastAsia"/>
              </w:rPr>
              <w:t>韩国</w:t>
            </w:r>
            <w:r>
              <w:t>2030</w:t>
            </w:r>
            <w:r>
              <w:rPr>
                <w:rFonts w:hint="eastAsia"/>
              </w:rPr>
              <w:t>年温室气体减排目标最终方案</w:t>
            </w:r>
          </w:p>
        </w:tc>
        <w:tc>
          <w:tcPr>
            <w:tcW w:w="642" w:type="pct"/>
            <w:tcBorders>
              <w:top w:val="single" w:color="auto" w:sz="4" w:space="0"/>
              <w:left w:val="single" w:color="auto" w:sz="4" w:space="0"/>
              <w:bottom w:val="single" w:color="auto" w:sz="4" w:space="0"/>
              <w:right w:val="single" w:color="auto" w:sz="4" w:space="0"/>
            </w:tcBorders>
            <w:vAlign w:val="center"/>
          </w:tcPr>
          <w:p w14:paraId="6CE18E24">
            <w:pPr>
              <w:pStyle w:val="40"/>
            </w:pPr>
            <w:r>
              <w:t>2015</w:t>
            </w:r>
          </w:p>
        </w:tc>
        <w:tc>
          <w:tcPr>
            <w:tcW w:w="2416" w:type="pct"/>
            <w:tcBorders>
              <w:top w:val="single" w:color="auto" w:sz="4" w:space="0"/>
              <w:left w:val="single" w:color="auto" w:sz="4" w:space="0"/>
              <w:bottom w:val="single" w:color="auto" w:sz="4" w:space="0"/>
              <w:right w:val="single" w:color="auto" w:sz="4" w:space="0"/>
            </w:tcBorders>
            <w:vAlign w:val="center"/>
          </w:tcPr>
          <w:p w14:paraId="43BDD2FC">
            <w:pPr>
              <w:pStyle w:val="40"/>
            </w:pPr>
            <w:r>
              <w:rPr>
                <w:rFonts w:hint="eastAsia"/>
              </w:rPr>
              <w:t>在现有日常水平上减排</w:t>
            </w:r>
            <w:r>
              <w:t>37%</w:t>
            </w:r>
            <w:r>
              <w:rPr>
                <w:rFonts w:hint="eastAsia"/>
              </w:rPr>
              <w:t>，较之前的减排</w:t>
            </w:r>
            <w:r>
              <w:t>15-30%</w:t>
            </w:r>
            <w:r>
              <w:rPr>
                <w:rFonts w:hint="eastAsia"/>
              </w:rPr>
              <w:t>的目标有所提高。</w:t>
            </w:r>
          </w:p>
        </w:tc>
      </w:tr>
    </w:tbl>
    <w:p w14:paraId="40737CA7">
      <w:pPr>
        <w:pStyle w:val="57"/>
      </w:pPr>
      <w:r>
        <w:rPr>
          <w:rFonts w:hint="eastAsia"/>
        </w:rPr>
        <w:t>二、建筑节能与绿色建筑发展目标</w:t>
      </w:r>
    </w:p>
    <w:p w14:paraId="4C4CEA7E">
      <w:r>
        <w:rPr>
          <w:rFonts w:hint="eastAsia"/>
        </w:rPr>
        <w:t>从目前国际上主要发达国家针对建筑节能与绿色建筑的发展目标设定来看，受应对气候变化的压力，国际主要发达国家均把建筑节能作为控制温室气体排放、应对气候变化的重要领域，提出了面向</w:t>
      </w:r>
      <w:r>
        <w:t>2030、甚至2050年的规划目标，且基本都围绕发展“近零能耗建筑”、“净零能耗建筑”“零能耗建筑”等展开。对于绿色建筑，国际主要发达国家均采取市场化方式予以推进，未设置中长期强制性发展目标。</w:t>
      </w:r>
    </w:p>
    <w:p w14:paraId="72EDB990">
      <w:r>
        <w:rPr>
          <w:rFonts w:hint="eastAsia"/>
        </w:rPr>
        <w:t>表</w:t>
      </w:r>
      <w:r>
        <w:t>8</w:t>
      </w:r>
      <w:r>
        <w:rPr>
          <w:rFonts w:hint="eastAsia"/>
        </w:rPr>
        <w:t>-</w:t>
      </w:r>
      <w:r>
        <w:t xml:space="preserve">9 </w:t>
      </w:r>
      <w:r>
        <w:rPr>
          <w:rFonts w:hint="eastAsia"/>
        </w:rPr>
        <w:t>国际建筑节能与绿色建筑发展目标对比</w:t>
      </w:r>
    </w:p>
    <w:tbl>
      <w:tblPr>
        <w:tblStyle w:val="2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43"/>
        <w:gridCol w:w="5245"/>
      </w:tblGrid>
      <w:tr w14:paraId="3E3A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5532C06F">
            <w:pPr>
              <w:pStyle w:val="40"/>
            </w:pPr>
            <w:r>
              <w:rPr>
                <w:rFonts w:hint="eastAsia"/>
              </w:rPr>
              <w:t>国家或地区</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C028B71">
            <w:pPr>
              <w:pStyle w:val="40"/>
            </w:pPr>
            <w:r>
              <w:rPr>
                <w:rFonts w:hint="eastAsia"/>
              </w:rPr>
              <w:t>目标年份</w:t>
            </w:r>
          </w:p>
        </w:tc>
        <w:tc>
          <w:tcPr>
            <w:tcW w:w="5245" w:type="dxa"/>
            <w:tcBorders>
              <w:top w:val="single" w:color="auto" w:sz="4" w:space="0"/>
              <w:left w:val="single" w:color="auto" w:sz="4" w:space="0"/>
              <w:bottom w:val="single" w:color="auto" w:sz="4" w:space="0"/>
              <w:right w:val="single" w:color="auto" w:sz="4" w:space="0"/>
            </w:tcBorders>
            <w:shd w:val="clear" w:color="auto" w:fill="auto"/>
            <w:vAlign w:val="center"/>
          </w:tcPr>
          <w:p w14:paraId="7A7FC197">
            <w:pPr>
              <w:pStyle w:val="40"/>
            </w:pPr>
            <w:r>
              <w:rPr>
                <w:rFonts w:hint="eastAsia"/>
              </w:rPr>
              <w:t>目标内容</w:t>
            </w:r>
          </w:p>
        </w:tc>
      </w:tr>
      <w:tr w14:paraId="0C77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tcBorders>
              <w:top w:val="single" w:color="auto" w:sz="4" w:space="0"/>
              <w:left w:val="single" w:color="auto" w:sz="4" w:space="0"/>
              <w:bottom w:val="single" w:color="auto" w:sz="4" w:space="0"/>
              <w:right w:val="single" w:color="auto" w:sz="4" w:space="0"/>
            </w:tcBorders>
            <w:vAlign w:val="center"/>
          </w:tcPr>
          <w:p w14:paraId="0EB7D0DD">
            <w:pPr>
              <w:pStyle w:val="40"/>
            </w:pPr>
            <w:r>
              <w:rPr>
                <w:rFonts w:hint="eastAsia"/>
              </w:rPr>
              <w:t>欧盟</w:t>
            </w:r>
          </w:p>
        </w:tc>
        <w:tc>
          <w:tcPr>
            <w:tcW w:w="1843" w:type="dxa"/>
            <w:tcBorders>
              <w:top w:val="single" w:color="auto" w:sz="4" w:space="0"/>
              <w:left w:val="single" w:color="auto" w:sz="4" w:space="0"/>
              <w:bottom w:val="single" w:color="auto" w:sz="4" w:space="0"/>
              <w:right w:val="single" w:color="auto" w:sz="4" w:space="0"/>
            </w:tcBorders>
            <w:vAlign w:val="center"/>
          </w:tcPr>
          <w:p w14:paraId="3FADE28B">
            <w:pPr>
              <w:pStyle w:val="40"/>
            </w:pPr>
            <w:r>
              <w:t>2018</w:t>
            </w:r>
          </w:p>
        </w:tc>
        <w:tc>
          <w:tcPr>
            <w:tcW w:w="5245" w:type="dxa"/>
            <w:tcBorders>
              <w:top w:val="single" w:color="auto" w:sz="4" w:space="0"/>
              <w:left w:val="single" w:color="auto" w:sz="4" w:space="0"/>
              <w:bottom w:val="single" w:color="auto" w:sz="4" w:space="0"/>
              <w:right w:val="single" w:color="auto" w:sz="4" w:space="0"/>
            </w:tcBorders>
            <w:vAlign w:val="center"/>
          </w:tcPr>
          <w:p w14:paraId="35321104">
            <w:pPr>
              <w:pStyle w:val="40"/>
            </w:pPr>
            <w:r>
              <w:rPr>
                <w:rFonts w:hint="eastAsia"/>
              </w:rPr>
              <w:t>公共建筑需达到近零能耗水平的能效目标</w:t>
            </w:r>
          </w:p>
        </w:tc>
      </w:tr>
      <w:tr w14:paraId="019C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27A5DE17">
            <w:pPr>
              <w:pStyle w:val="40"/>
            </w:pPr>
          </w:p>
        </w:tc>
        <w:tc>
          <w:tcPr>
            <w:tcW w:w="1843" w:type="dxa"/>
            <w:tcBorders>
              <w:top w:val="single" w:color="auto" w:sz="4" w:space="0"/>
              <w:left w:val="single" w:color="auto" w:sz="4" w:space="0"/>
              <w:bottom w:val="single" w:color="auto" w:sz="4" w:space="0"/>
              <w:right w:val="single" w:color="auto" w:sz="4" w:space="0"/>
            </w:tcBorders>
            <w:vAlign w:val="center"/>
          </w:tcPr>
          <w:p w14:paraId="3ED754E2">
            <w:pPr>
              <w:pStyle w:val="40"/>
            </w:pPr>
            <w:r>
              <w:t>2020</w:t>
            </w:r>
          </w:p>
        </w:tc>
        <w:tc>
          <w:tcPr>
            <w:tcW w:w="5245" w:type="dxa"/>
            <w:tcBorders>
              <w:top w:val="single" w:color="auto" w:sz="4" w:space="0"/>
              <w:left w:val="single" w:color="auto" w:sz="4" w:space="0"/>
              <w:bottom w:val="single" w:color="auto" w:sz="4" w:space="0"/>
              <w:right w:val="single" w:color="auto" w:sz="4" w:space="0"/>
            </w:tcBorders>
            <w:vAlign w:val="center"/>
          </w:tcPr>
          <w:p w14:paraId="35089713">
            <w:pPr>
              <w:pStyle w:val="40"/>
            </w:pPr>
            <w:r>
              <w:rPr>
                <w:rFonts w:hint="eastAsia"/>
              </w:rPr>
              <w:t>所有新建建筑需达到近零能耗水平</w:t>
            </w:r>
          </w:p>
        </w:tc>
      </w:tr>
      <w:tr w14:paraId="1899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tcBorders>
              <w:top w:val="single" w:color="auto" w:sz="4" w:space="0"/>
              <w:left w:val="single" w:color="auto" w:sz="4" w:space="0"/>
              <w:right w:val="single" w:color="auto" w:sz="4" w:space="0"/>
            </w:tcBorders>
            <w:vAlign w:val="center"/>
          </w:tcPr>
          <w:p w14:paraId="58A45E79">
            <w:pPr>
              <w:pStyle w:val="40"/>
            </w:pPr>
            <w:r>
              <w:rPr>
                <w:rFonts w:hint="eastAsia"/>
              </w:rPr>
              <w:t>英国</w:t>
            </w:r>
          </w:p>
        </w:tc>
        <w:tc>
          <w:tcPr>
            <w:tcW w:w="1843" w:type="dxa"/>
            <w:tcBorders>
              <w:top w:val="single" w:color="auto" w:sz="4" w:space="0"/>
              <w:left w:val="single" w:color="auto" w:sz="4" w:space="0"/>
              <w:bottom w:val="single" w:color="auto" w:sz="4" w:space="0"/>
              <w:right w:val="single" w:color="auto" w:sz="4" w:space="0"/>
            </w:tcBorders>
            <w:vAlign w:val="center"/>
          </w:tcPr>
          <w:p w14:paraId="1705BC4C">
            <w:pPr>
              <w:pStyle w:val="40"/>
            </w:pPr>
            <w:r>
              <w:t>2022</w:t>
            </w:r>
          </w:p>
        </w:tc>
        <w:tc>
          <w:tcPr>
            <w:tcW w:w="5245" w:type="dxa"/>
            <w:tcBorders>
              <w:top w:val="single" w:color="auto" w:sz="4" w:space="0"/>
              <w:left w:val="single" w:color="auto" w:sz="4" w:space="0"/>
              <w:bottom w:val="single" w:color="auto" w:sz="4" w:space="0"/>
              <w:right w:val="single" w:color="auto" w:sz="4" w:space="0"/>
            </w:tcBorders>
            <w:vAlign w:val="center"/>
          </w:tcPr>
          <w:p w14:paraId="2758CDBD">
            <w:pPr>
              <w:pStyle w:val="40"/>
            </w:pPr>
            <w:r>
              <w:rPr>
                <w:rFonts w:hint="eastAsia"/>
              </w:rPr>
              <w:t>碳排放降低</w:t>
            </w:r>
            <w:r>
              <w:t>34%</w:t>
            </w:r>
          </w:p>
        </w:tc>
      </w:tr>
      <w:tr w14:paraId="33F1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14:paraId="03E09691">
            <w:pPr>
              <w:pStyle w:val="40"/>
            </w:pPr>
          </w:p>
        </w:tc>
        <w:tc>
          <w:tcPr>
            <w:tcW w:w="1843" w:type="dxa"/>
            <w:tcBorders>
              <w:top w:val="single" w:color="auto" w:sz="4" w:space="0"/>
              <w:left w:val="single" w:color="auto" w:sz="4" w:space="0"/>
              <w:bottom w:val="single" w:color="auto" w:sz="4" w:space="0"/>
              <w:right w:val="single" w:color="auto" w:sz="4" w:space="0"/>
            </w:tcBorders>
            <w:vAlign w:val="center"/>
          </w:tcPr>
          <w:p w14:paraId="06FFBC5C">
            <w:pPr>
              <w:pStyle w:val="40"/>
            </w:pPr>
            <w:r>
              <w:t>2027</w:t>
            </w:r>
          </w:p>
        </w:tc>
        <w:tc>
          <w:tcPr>
            <w:tcW w:w="5245" w:type="dxa"/>
            <w:tcBorders>
              <w:top w:val="single" w:color="auto" w:sz="4" w:space="0"/>
              <w:left w:val="single" w:color="auto" w:sz="4" w:space="0"/>
              <w:bottom w:val="single" w:color="auto" w:sz="4" w:space="0"/>
              <w:right w:val="single" w:color="auto" w:sz="4" w:space="0"/>
            </w:tcBorders>
            <w:vAlign w:val="center"/>
          </w:tcPr>
          <w:p w14:paraId="48883B2C">
            <w:pPr>
              <w:pStyle w:val="40"/>
            </w:pPr>
            <w:r>
              <w:rPr>
                <w:rFonts w:hint="eastAsia"/>
              </w:rPr>
              <w:t>碳排放降低</w:t>
            </w:r>
            <w:r>
              <w:t>50%</w:t>
            </w:r>
          </w:p>
        </w:tc>
      </w:tr>
      <w:tr w14:paraId="77E0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14:paraId="1BAE5057">
            <w:pPr>
              <w:pStyle w:val="40"/>
            </w:pPr>
          </w:p>
        </w:tc>
        <w:tc>
          <w:tcPr>
            <w:tcW w:w="1843" w:type="dxa"/>
            <w:tcBorders>
              <w:top w:val="single" w:color="auto" w:sz="4" w:space="0"/>
              <w:left w:val="single" w:color="auto" w:sz="4" w:space="0"/>
              <w:bottom w:val="single" w:color="auto" w:sz="4" w:space="0"/>
              <w:right w:val="single" w:color="auto" w:sz="4" w:space="0"/>
            </w:tcBorders>
            <w:vAlign w:val="center"/>
          </w:tcPr>
          <w:p w14:paraId="728C26CD">
            <w:pPr>
              <w:pStyle w:val="40"/>
            </w:pPr>
            <w:r>
              <w:t>2050</w:t>
            </w:r>
          </w:p>
        </w:tc>
        <w:tc>
          <w:tcPr>
            <w:tcW w:w="5245" w:type="dxa"/>
            <w:tcBorders>
              <w:top w:val="single" w:color="auto" w:sz="4" w:space="0"/>
              <w:left w:val="single" w:color="auto" w:sz="4" w:space="0"/>
              <w:bottom w:val="single" w:color="auto" w:sz="4" w:space="0"/>
              <w:right w:val="single" w:color="auto" w:sz="4" w:space="0"/>
            </w:tcBorders>
            <w:vAlign w:val="center"/>
          </w:tcPr>
          <w:p w14:paraId="457C7912">
            <w:pPr>
              <w:pStyle w:val="40"/>
            </w:pPr>
            <w:r>
              <w:rPr>
                <w:rFonts w:hint="eastAsia"/>
              </w:rPr>
              <w:t>碳排放降低</w:t>
            </w:r>
            <w:r>
              <w:t>80%</w:t>
            </w:r>
          </w:p>
        </w:tc>
      </w:tr>
      <w:tr w14:paraId="6641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32EFF342">
            <w:pPr>
              <w:pStyle w:val="40"/>
            </w:pPr>
            <w:r>
              <w:rPr>
                <w:rFonts w:hint="eastAsia"/>
              </w:rPr>
              <w:t>德国</w:t>
            </w:r>
          </w:p>
        </w:tc>
        <w:tc>
          <w:tcPr>
            <w:tcW w:w="1843" w:type="dxa"/>
            <w:tcBorders>
              <w:top w:val="single" w:color="auto" w:sz="4" w:space="0"/>
              <w:left w:val="single" w:color="auto" w:sz="4" w:space="0"/>
              <w:bottom w:val="single" w:color="auto" w:sz="4" w:space="0"/>
              <w:right w:val="single" w:color="auto" w:sz="4" w:space="0"/>
            </w:tcBorders>
            <w:vAlign w:val="center"/>
          </w:tcPr>
          <w:p w14:paraId="22E17466">
            <w:pPr>
              <w:pStyle w:val="40"/>
            </w:pPr>
            <w:r>
              <w:t>2020</w:t>
            </w:r>
          </w:p>
        </w:tc>
        <w:tc>
          <w:tcPr>
            <w:tcW w:w="5245" w:type="dxa"/>
            <w:tcBorders>
              <w:top w:val="single" w:color="auto" w:sz="4" w:space="0"/>
              <w:left w:val="single" w:color="auto" w:sz="4" w:space="0"/>
              <w:bottom w:val="single" w:color="auto" w:sz="4" w:space="0"/>
              <w:right w:val="single" w:color="auto" w:sz="4" w:space="0"/>
            </w:tcBorders>
            <w:vAlign w:val="center"/>
          </w:tcPr>
          <w:p w14:paraId="43A3648E">
            <w:pPr>
              <w:pStyle w:val="40"/>
            </w:pPr>
            <w:r>
              <w:rPr>
                <w:rFonts w:hint="eastAsia"/>
              </w:rPr>
              <w:t>建筑物在零化石燃料的情况下实现运营</w:t>
            </w:r>
          </w:p>
        </w:tc>
      </w:tr>
      <w:tr w14:paraId="31E3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06592994">
            <w:pPr>
              <w:pStyle w:val="40"/>
            </w:pPr>
            <w:r>
              <w:rPr>
                <w:rFonts w:hint="eastAsia"/>
              </w:rPr>
              <w:t>法国</w:t>
            </w:r>
          </w:p>
        </w:tc>
        <w:tc>
          <w:tcPr>
            <w:tcW w:w="1843" w:type="dxa"/>
            <w:tcBorders>
              <w:top w:val="single" w:color="auto" w:sz="4" w:space="0"/>
              <w:left w:val="single" w:color="auto" w:sz="4" w:space="0"/>
              <w:bottom w:val="single" w:color="auto" w:sz="4" w:space="0"/>
              <w:right w:val="single" w:color="auto" w:sz="4" w:space="0"/>
            </w:tcBorders>
            <w:vAlign w:val="center"/>
          </w:tcPr>
          <w:p w14:paraId="367BBAD4">
            <w:pPr>
              <w:pStyle w:val="40"/>
            </w:pPr>
            <w:r>
              <w:t>2020</w:t>
            </w:r>
          </w:p>
        </w:tc>
        <w:tc>
          <w:tcPr>
            <w:tcW w:w="5245" w:type="dxa"/>
            <w:tcBorders>
              <w:top w:val="single" w:color="auto" w:sz="4" w:space="0"/>
              <w:left w:val="single" w:color="auto" w:sz="4" w:space="0"/>
              <w:bottom w:val="single" w:color="auto" w:sz="4" w:space="0"/>
              <w:right w:val="single" w:color="auto" w:sz="4" w:space="0"/>
            </w:tcBorders>
            <w:vAlign w:val="center"/>
          </w:tcPr>
          <w:p w14:paraId="610988C1">
            <w:pPr>
              <w:pStyle w:val="40"/>
            </w:pPr>
            <w:r>
              <w:rPr>
                <w:rFonts w:hint="eastAsia"/>
              </w:rPr>
              <w:t>建筑物可实现对外部输送能量的目标</w:t>
            </w:r>
          </w:p>
        </w:tc>
      </w:tr>
      <w:tr w14:paraId="7CD5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tcBorders>
              <w:top w:val="single" w:color="auto" w:sz="4" w:space="0"/>
              <w:left w:val="single" w:color="auto" w:sz="4" w:space="0"/>
              <w:right w:val="single" w:color="auto" w:sz="4" w:space="0"/>
            </w:tcBorders>
            <w:vAlign w:val="center"/>
          </w:tcPr>
          <w:p w14:paraId="29220F99">
            <w:pPr>
              <w:pStyle w:val="40"/>
            </w:pPr>
            <w:r>
              <w:rPr>
                <w:rFonts w:hint="eastAsia"/>
              </w:rPr>
              <w:t>美国</w:t>
            </w:r>
          </w:p>
        </w:tc>
        <w:tc>
          <w:tcPr>
            <w:tcW w:w="1843" w:type="dxa"/>
            <w:tcBorders>
              <w:top w:val="single" w:color="auto" w:sz="4" w:space="0"/>
              <w:left w:val="single" w:color="auto" w:sz="4" w:space="0"/>
              <w:bottom w:val="single" w:color="auto" w:sz="4" w:space="0"/>
              <w:right w:val="single" w:color="auto" w:sz="4" w:space="0"/>
            </w:tcBorders>
            <w:vAlign w:val="center"/>
          </w:tcPr>
          <w:p w14:paraId="29ECF94E">
            <w:pPr>
              <w:pStyle w:val="40"/>
            </w:pPr>
            <w:r>
              <w:t>2025</w:t>
            </w:r>
          </w:p>
        </w:tc>
        <w:tc>
          <w:tcPr>
            <w:tcW w:w="5245" w:type="dxa"/>
            <w:tcBorders>
              <w:top w:val="single" w:color="auto" w:sz="4" w:space="0"/>
              <w:left w:val="single" w:color="auto" w:sz="4" w:space="0"/>
              <w:bottom w:val="single" w:color="auto" w:sz="4" w:space="0"/>
              <w:right w:val="single" w:color="auto" w:sz="4" w:space="0"/>
            </w:tcBorders>
            <w:vAlign w:val="center"/>
          </w:tcPr>
          <w:p w14:paraId="330F548D">
            <w:pPr>
              <w:pStyle w:val="40"/>
            </w:pPr>
            <w:r>
              <w:rPr>
                <w:rFonts w:hint="eastAsia"/>
              </w:rPr>
              <w:t>“零能耗建筑”实现商业化</w:t>
            </w:r>
          </w:p>
        </w:tc>
      </w:tr>
      <w:tr w14:paraId="1A04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14:paraId="5A549D5A">
            <w:pPr>
              <w:pStyle w:val="40"/>
            </w:pPr>
          </w:p>
        </w:tc>
        <w:tc>
          <w:tcPr>
            <w:tcW w:w="1843" w:type="dxa"/>
            <w:tcBorders>
              <w:top w:val="single" w:color="auto" w:sz="4" w:space="0"/>
              <w:left w:val="single" w:color="auto" w:sz="4" w:space="0"/>
              <w:bottom w:val="single" w:color="auto" w:sz="4" w:space="0"/>
              <w:right w:val="single" w:color="auto" w:sz="4" w:space="0"/>
            </w:tcBorders>
            <w:vAlign w:val="center"/>
          </w:tcPr>
          <w:p w14:paraId="4B1C3078">
            <w:pPr>
              <w:pStyle w:val="40"/>
            </w:pPr>
            <w:r>
              <w:t>2030</w:t>
            </w:r>
          </w:p>
        </w:tc>
        <w:tc>
          <w:tcPr>
            <w:tcW w:w="5245" w:type="dxa"/>
            <w:tcBorders>
              <w:top w:val="single" w:color="auto" w:sz="4" w:space="0"/>
              <w:left w:val="single" w:color="auto" w:sz="4" w:space="0"/>
              <w:bottom w:val="single" w:color="auto" w:sz="4" w:space="0"/>
              <w:right w:val="single" w:color="auto" w:sz="4" w:space="0"/>
            </w:tcBorders>
            <w:vAlign w:val="center"/>
          </w:tcPr>
          <w:p w14:paraId="6C5EAB7E">
            <w:pPr>
              <w:pStyle w:val="40"/>
            </w:pPr>
            <w:r>
              <w:rPr>
                <w:rFonts w:hint="eastAsia"/>
              </w:rPr>
              <w:t>所有新建公共建筑达到净零能耗</w:t>
            </w:r>
          </w:p>
        </w:tc>
      </w:tr>
      <w:tr w14:paraId="400F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14:paraId="5FDD5A44">
            <w:pPr>
              <w:pStyle w:val="40"/>
            </w:pPr>
          </w:p>
        </w:tc>
        <w:tc>
          <w:tcPr>
            <w:tcW w:w="1843" w:type="dxa"/>
            <w:tcBorders>
              <w:top w:val="single" w:color="auto" w:sz="4" w:space="0"/>
              <w:left w:val="single" w:color="auto" w:sz="4" w:space="0"/>
              <w:bottom w:val="single" w:color="auto" w:sz="4" w:space="0"/>
              <w:right w:val="single" w:color="auto" w:sz="4" w:space="0"/>
            </w:tcBorders>
            <w:vAlign w:val="center"/>
          </w:tcPr>
          <w:p w14:paraId="523B1751">
            <w:pPr>
              <w:pStyle w:val="40"/>
            </w:pPr>
            <w:r>
              <w:t>2040</w:t>
            </w:r>
          </w:p>
        </w:tc>
        <w:tc>
          <w:tcPr>
            <w:tcW w:w="5245" w:type="dxa"/>
            <w:tcBorders>
              <w:top w:val="single" w:color="auto" w:sz="4" w:space="0"/>
              <w:left w:val="single" w:color="auto" w:sz="4" w:space="0"/>
              <w:bottom w:val="single" w:color="auto" w:sz="4" w:space="0"/>
              <w:right w:val="single" w:color="auto" w:sz="4" w:space="0"/>
            </w:tcBorders>
            <w:vAlign w:val="center"/>
          </w:tcPr>
          <w:p w14:paraId="1E10AB09">
            <w:pPr>
              <w:pStyle w:val="40"/>
            </w:pPr>
            <w:r>
              <w:t>50%的公共建筑达到零能耗</w:t>
            </w:r>
          </w:p>
        </w:tc>
      </w:tr>
      <w:tr w14:paraId="3921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14:paraId="3BA470A8">
            <w:pPr>
              <w:pStyle w:val="40"/>
            </w:pPr>
          </w:p>
        </w:tc>
        <w:tc>
          <w:tcPr>
            <w:tcW w:w="1843" w:type="dxa"/>
            <w:tcBorders>
              <w:top w:val="single" w:color="auto" w:sz="4" w:space="0"/>
              <w:left w:val="single" w:color="auto" w:sz="4" w:space="0"/>
              <w:bottom w:val="single" w:color="auto" w:sz="4" w:space="0"/>
              <w:right w:val="single" w:color="auto" w:sz="4" w:space="0"/>
            </w:tcBorders>
            <w:vAlign w:val="center"/>
          </w:tcPr>
          <w:p w14:paraId="6A52534C">
            <w:pPr>
              <w:pStyle w:val="40"/>
            </w:pPr>
            <w:r>
              <w:t>2050</w:t>
            </w:r>
          </w:p>
        </w:tc>
        <w:tc>
          <w:tcPr>
            <w:tcW w:w="5245" w:type="dxa"/>
            <w:tcBorders>
              <w:top w:val="single" w:color="auto" w:sz="4" w:space="0"/>
              <w:left w:val="single" w:color="auto" w:sz="4" w:space="0"/>
              <w:bottom w:val="single" w:color="auto" w:sz="4" w:space="0"/>
              <w:right w:val="single" w:color="auto" w:sz="4" w:space="0"/>
            </w:tcBorders>
            <w:vAlign w:val="center"/>
          </w:tcPr>
          <w:p w14:paraId="5C28D888">
            <w:pPr>
              <w:pStyle w:val="40"/>
            </w:pPr>
            <w:r>
              <w:rPr>
                <w:rFonts w:hint="eastAsia"/>
              </w:rPr>
              <w:t>所有公共建筑达到净零能耗</w:t>
            </w:r>
          </w:p>
        </w:tc>
      </w:tr>
    </w:tbl>
    <w:p w14:paraId="0F3E23CE"/>
    <w:p w14:paraId="173BA435"/>
    <w:p w14:paraId="54B7C84E">
      <w:r>
        <w:t>欧盟发布了《建筑能效指令》（EPBD 2010/91/EC），提出到2020年，所有新建建筑需达到近零能耗水平；到2018年，所有公共建筑需达到近零能耗水平的能效目标。</w:t>
      </w:r>
      <w:r>
        <w:rPr>
          <w:rFonts w:hint="eastAsia"/>
        </w:rPr>
        <w:t>欧盟各</w:t>
      </w:r>
      <w:r>
        <w:t>成员国都</w:t>
      </w:r>
      <w:r>
        <w:rPr>
          <w:rFonts w:hint="eastAsia"/>
        </w:rPr>
        <w:t>根据这一总体目标</w:t>
      </w:r>
      <w:r>
        <w:t>制定</w:t>
      </w:r>
      <w:r>
        <w:rPr>
          <w:rFonts w:hint="eastAsia"/>
        </w:rPr>
        <w:t>了</w:t>
      </w:r>
      <w:r>
        <w:t>近零能耗建筑国家路线图和促进近零能耗建筑数量增加的国家方案。</w:t>
      </w:r>
      <w:r>
        <w:rPr>
          <w:rFonts w:hint="eastAsia"/>
        </w:rPr>
        <w:t>例如，德国提出到</w:t>
      </w:r>
      <w:r>
        <w:t>2020</w:t>
      </w:r>
      <w:r>
        <w:rPr>
          <w:rFonts w:hint="eastAsia"/>
        </w:rPr>
        <w:t>年建筑物在零化石燃料的情况下实现运营；法国提出在</w:t>
      </w:r>
      <w:r>
        <w:t>2020</w:t>
      </w:r>
      <w:r>
        <w:rPr>
          <w:rFonts w:hint="eastAsia"/>
        </w:rPr>
        <w:t>年建筑物可实现对外部输送能量的目标。</w:t>
      </w:r>
    </w:p>
    <w:p w14:paraId="2A361421">
      <w:r>
        <w:rPr>
          <w:rFonts w:hint="eastAsia"/>
        </w:rPr>
        <w:t>英国提出到</w:t>
      </w:r>
      <w:r>
        <w:t>2016</w:t>
      </w:r>
      <w:r>
        <w:rPr>
          <w:rFonts w:hint="eastAsia"/>
        </w:rPr>
        <w:t>年由政府出资的新建建筑达到零排放的目标，并提出建筑碳排放目标：到</w:t>
      </w:r>
      <w:r>
        <w:t>2017年实现碳排放降低28%，到2022年实现碳排放降低34%，到2027年实现碳排放降低50%</w:t>
      </w:r>
      <w:r>
        <w:rPr>
          <w:rFonts w:hint="eastAsia"/>
        </w:rPr>
        <w:t>，到</w:t>
      </w:r>
      <w:r>
        <w:t>2050年，实现总碳排放降低80%。</w:t>
      </w:r>
    </w:p>
    <w:p w14:paraId="2772ADD7">
      <w:r>
        <w:rPr>
          <w:rFonts w:hint="eastAsia"/>
        </w:rPr>
        <w:t>美国的建筑节能发展战略目标是：到</w:t>
      </w:r>
      <w:r>
        <w:t>2020年</w:t>
      </w:r>
      <w:r>
        <w:rPr>
          <w:rFonts w:hint="eastAsia"/>
        </w:rPr>
        <w:t>，“零能耗住宅”</w:t>
      </w:r>
      <w:r>
        <w:t>达到市场可行</w:t>
      </w:r>
      <w:r>
        <w:rPr>
          <w:rFonts w:hint="eastAsia"/>
        </w:rPr>
        <w:t>；到</w:t>
      </w:r>
      <w:r>
        <w:t>2025年</w:t>
      </w:r>
      <w:r>
        <w:rPr>
          <w:rFonts w:hint="eastAsia"/>
        </w:rPr>
        <w:t>，</w:t>
      </w:r>
      <w:r>
        <w:t>“零能耗建筑”</w:t>
      </w:r>
      <w:r>
        <w:rPr>
          <w:rFonts w:hint="eastAsia"/>
        </w:rPr>
        <w:t>实现</w:t>
      </w:r>
      <w:r>
        <w:t>商业化</w:t>
      </w:r>
      <w:r>
        <w:rPr>
          <w:rFonts w:hint="eastAsia"/>
        </w:rPr>
        <w:t>；到</w:t>
      </w:r>
      <w:r>
        <w:t>2030年,所有新建公共建筑达到净零能耗;到2040年, 50%的公共建筑达到零能耗;2050年,所有公共建筑达到净零能耗</w:t>
      </w:r>
      <w:r>
        <w:rPr>
          <w:rFonts w:hint="eastAsia"/>
        </w:rPr>
        <w:t>。</w:t>
      </w:r>
    </w:p>
    <w:p w14:paraId="2791B7FC">
      <w:pPr>
        <w:widowControl/>
        <w:suppressAutoHyphens w:val="0"/>
        <w:spacing w:line="240" w:lineRule="auto"/>
        <w:ind w:firstLine="0" w:firstLineChars="0"/>
        <w:jc w:val="left"/>
      </w:pPr>
      <w:r>
        <w:br w:type="page"/>
      </w:r>
    </w:p>
    <w:p w14:paraId="6180DE28">
      <w:pPr>
        <w:pStyle w:val="40"/>
      </w:pPr>
      <w:bookmarkStart w:id="95" w:name="_Toc76743871"/>
      <w:r>
        <w:rPr>
          <w:rFonts w:hint="eastAsia"/>
        </w:rPr>
        <w:t xml:space="preserve">附件五 </w:t>
      </w:r>
      <w:r>
        <w:t xml:space="preserve"> </w:t>
      </w:r>
      <w:r>
        <w:rPr>
          <w:rFonts w:hint="eastAsia"/>
        </w:rPr>
        <w:t>重点任务识别思路</w:t>
      </w:r>
      <w:bookmarkEnd w:id="95"/>
    </w:p>
    <w:p w14:paraId="110813D5">
      <w:pPr>
        <w:pStyle w:val="57"/>
      </w:pPr>
      <w:r>
        <w:rPr>
          <w:rFonts w:hint="eastAsia"/>
        </w:rPr>
        <w:t>一、控制增量</w:t>
      </w:r>
    </w:p>
    <w:p w14:paraId="006E5E07">
      <w:pPr>
        <w:spacing w:line="360" w:lineRule="auto"/>
        <w:ind w:firstLine="482"/>
        <w:rPr>
          <w:b/>
          <w:bCs/>
          <w:szCs w:val="24"/>
        </w:rPr>
      </w:pPr>
      <w:r>
        <w:rPr>
          <w:rFonts w:hint="eastAsia"/>
          <w:b/>
          <w:bCs/>
          <w:szCs w:val="24"/>
        </w:rPr>
        <w:t>1</w:t>
      </w:r>
      <w:r>
        <w:rPr>
          <w:b/>
          <w:bCs/>
          <w:szCs w:val="24"/>
        </w:rPr>
        <w:t xml:space="preserve">. </w:t>
      </w:r>
      <w:r>
        <w:rPr>
          <w:rFonts w:hint="eastAsia"/>
          <w:b/>
          <w:bCs/>
          <w:szCs w:val="24"/>
        </w:rPr>
        <w:t>提升新建建筑节能标准水平，严格要求新建项目节能标准执行质量。</w:t>
      </w:r>
    </w:p>
    <w:p w14:paraId="174812BA">
      <w:r>
        <w:t>加快提高建筑节能标准及执行质量</w:t>
      </w:r>
      <w:r>
        <w:rPr>
          <w:rFonts w:hint="eastAsia"/>
        </w:rPr>
        <w:t>，推动严寒及寒冷地区城镇新建居住建筑加快实施更高水平节能强制性标准，提高建筑门窗等关键部位节能性能要求，引导京津冀、长三角、珠三角等重点区域城市率先实施高于国家标准要求的地方标准，在不同气候区树立引领标杆。积极开展超低能耗建筑、近零能耗建筑建设示范，提炼规划、设计、施工、运行维护等环节共性关键技术，引领节能标准提升进程，在具备条件的园区、街区推动超低能耗建筑集中连片建设。鼓励开展零能耗建筑建设试点。</w:t>
      </w:r>
    </w:p>
    <w:p w14:paraId="67FB0B65">
      <w:pPr>
        <w:rPr>
          <w:b/>
          <w:bCs/>
        </w:rPr>
      </w:pPr>
      <w:r>
        <w:rPr>
          <w:rFonts w:hint="eastAsia"/>
        </w:rPr>
        <w:t>严格控制</w:t>
      </w:r>
      <w:r>
        <w:t>建筑节能标准执行质量。进一步发挥工程建设</w:t>
      </w:r>
      <w:r>
        <w:rPr>
          <w:rFonts w:hint="eastAsia"/>
        </w:rPr>
        <w:t>中建筑节能管理体系作用，完善新建建筑在规划、设计、施工、竣工验收等环节的节能监管，强化工程各方主体建筑节能质量责任，确保节能标准执行到位。探索建立企业为主体、金融保险机构参与的建筑节能工程施工质量保险制度。对超高超限公共建筑项目，实行节能专项论证制度。加强建筑节能材料、部品、产品的质量管理。</w:t>
      </w:r>
    </w:p>
    <w:p w14:paraId="709EC9E2">
      <w:pPr>
        <w:spacing w:line="360" w:lineRule="auto"/>
        <w:ind w:firstLine="482"/>
        <w:rPr>
          <w:b/>
          <w:bCs/>
          <w:szCs w:val="24"/>
        </w:rPr>
      </w:pPr>
      <w:r>
        <w:rPr>
          <w:rFonts w:hint="eastAsia"/>
          <w:b/>
          <w:bCs/>
          <w:szCs w:val="24"/>
        </w:rPr>
        <w:t>2、引导建筑新建规模和质量，保证建筑能耗总量控制的宏观建筑面积条件。</w:t>
      </w:r>
    </w:p>
    <w:p w14:paraId="1B4611A2">
      <w:r>
        <w:rPr>
          <w:rFonts w:hint="eastAsia"/>
        </w:rPr>
        <w:t>从能源节约的角度看，控制建筑新建速度有着重要的意义。建筑能源和资源消耗，与建筑面积规模有着直接的关系，一方面，建筑建设消耗的建材及各类技术产品，都需要消耗能源资源；另一方面，建筑运行能耗，与建筑能耗强度和建筑面积正相关。当前，我国建筑新建速度大大超过了城镇人口新增和改善住房需求，许多地方出现建筑空置率高的问题；从长期发展看，未来我国总人口和城镇人口存在上限，新增建筑量应尽可能考虑城乡人口变化速度以及未来整体需求。对于北方集中采暖地区，大量空置的新建建筑（已接入城市供暖），直接意味着集中供暖系统的能耗浪费。从高质量发展的角度看，合理的增长速度有利于建筑质量持续更新迭代。根据建筑节能与绿色建筑发展的历程来看，建筑材料、暖通空调、各类家用电器、照明灯具、以及可再生能源利用技术等，都在不断的发展进步。近年来，建筑信息模型（</w:t>
      </w:r>
      <w:r>
        <w:t>BIM）技术在设计和运行过程中的应用推广，装配式建筑技术发展等，都给建筑高质量发展提供了越来越多的支持。技术的发展需要工程应用的支持，当下过度的新增工程，势必将占用未来技术革新的应用空间，因此，要合理的引导增长速度。</w:t>
      </w:r>
      <w:r>
        <w:rPr>
          <w:rFonts w:hint="eastAsia"/>
        </w:rPr>
        <w:t>从市场金融风险角度看，控制建筑新增量实际也是控制房地产市场金融风险。房地产市场规模大，如果考虑上下游产业，其规模在国民经济中比重庞大。当前，房地产市场主体为了加快开发建设速度，采取各种方式融资，负债率普遍较高。已经出现部分三四线城市房价开始出现松动，一旦出现房价大幅下降，房地产企业资金链锻炼或资不抵债，将对国家金融安全产生巨大的冲击。因此，控制建筑增量，包括建设速度和未来规划建筑总量，对引导市场持续发展，控制金融风险，有着非常重要的意义。</w:t>
      </w:r>
    </w:p>
    <w:p w14:paraId="54C57182">
      <w:r>
        <w:rPr>
          <w:rFonts w:hint="eastAsia"/>
        </w:rPr>
        <w:t>“十四五”是控制建筑增量的关键时期，延续过去十年的建设速度，将会出现能耗总量超标、难以高质量发展和金融风险失控等问题。因此，规划未来建筑规模，逐步调整建设速度，是规划应当着重强调的关键点。</w:t>
      </w:r>
    </w:p>
    <w:p w14:paraId="415E5A5C">
      <w:pPr>
        <w:pStyle w:val="57"/>
      </w:pPr>
      <w:bookmarkStart w:id="96" w:name="_Toc22068307"/>
      <w:r>
        <w:rPr>
          <w:rFonts w:hint="eastAsia"/>
        </w:rPr>
        <w:t>二、改善存量</w:t>
      </w:r>
      <w:bookmarkEnd w:id="96"/>
    </w:p>
    <w:p w14:paraId="3F1557F5">
      <w:r>
        <w:rPr>
          <w:rFonts w:hint="eastAsia"/>
        </w:rPr>
        <w:t>提升既有建筑的节能和绿色水平，是“十四五”期间一项非常重要的任务：1</w:t>
      </w:r>
      <w:r>
        <w:t>.</w:t>
      </w:r>
      <w:r>
        <w:rPr>
          <w:rFonts w:hint="eastAsia"/>
        </w:rPr>
        <w:t>从存量的规模来看，多个研究机构的数据表明，当前我国存量建筑面积约</w:t>
      </w:r>
      <w:r>
        <w:t>600</w:t>
      </w:r>
      <w:r>
        <w:rPr>
          <w:rFonts w:hint="eastAsia"/>
        </w:rPr>
        <w:t>亿</w:t>
      </w:r>
      <w:r>
        <w:t>m</w:t>
      </w:r>
      <w:r>
        <w:rPr>
          <w:vertAlign w:val="superscript"/>
        </w:rPr>
        <w:t>2</w:t>
      </w:r>
      <w:r>
        <w:rPr>
          <w:rFonts w:hint="eastAsia"/>
        </w:rPr>
        <w:t>，其中，公共建筑约</w:t>
      </w:r>
      <w:r>
        <w:t>130</w:t>
      </w:r>
      <w:r>
        <w:rPr>
          <w:rFonts w:hint="eastAsia"/>
        </w:rPr>
        <w:t>亿</w:t>
      </w:r>
      <w:r>
        <w:t>m</w:t>
      </w:r>
      <w:r>
        <w:rPr>
          <w:vertAlign w:val="superscript"/>
        </w:rPr>
        <w:t>2</w:t>
      </w:r>
      <w:r>
        <w:rPr>
          <w:rFonts w:hint="eastAsia"/>
        </w:rPr>
        <w:t>，城镇住宅约</w:t>
      </w:r>
      <w:r>
        <w:t>240</w:t>
      </w:r>
      <w:r>
        <w:rPr>
          <w:rFonts w:hint="eastAsia"/>
        </w:rPr>
        <w:t>亿</w:t>
      </w:r>
      <w:r>
        <w:t>m</w:t>
      </w:r>
      <w:r>
        <w:rPr>
          <w:vertAlign w:val="superscript"/>
        </w:rPr>
        <w:t>2</w:t>
      </w:r>
      <w:r>
        <w:rPr>
          <w:rFonts w:hint="eastAsia"/>
        </w:rPr>
        <w:t>，农村住宅约</w:t>
      </w:r>
      <w:r>
        <w:t>220</w:t>
      </w:r>
      <w:r>
        <w:rPr>
          <w:rFonts w:hint="eastAsia"/>
        </w:rPr>
        <w:t>亿</w:t>
      </w:r>
      <w:r>
        <w:t>m</w:t>
      </w:r>
      <w:r>
        <w:rPr>
          <w:vertAlign w:val="superscript"/>
        </w:rPr>
        <w:t>2</w:t>
      </w:r>
      <w:r>
        <w:rPr>
          <w:rFonts w:hint="eastAsia"/>
        </w:rPr>
        <w:t>。在“十三五”规划中，城镇住宅节能改造的目标为</w:t>
      </w:r>
      <w:r>
        <w:t>5亿m</w:t>
      </w:r>
      <w:r>
        <w:rPr>
          <w:vertAlign w:val="superscript"/>
        </w:rPr>
        <w:t>2</w:t>
      </w:r>
      <w:r>
        <w:rPr>
          <w:rFonts w:hint="eastAsia"/>
        </w:rPr>
        <w:t>，公共建筑改造目标为</w:t>
      </w:r>
      <w:r>
        <w:t>1亿m</w:t>
      </w:r>
      <w:r>
        <w:rPr>
          <w:vertAlign w:val="superscript"/>
        </w:rPr>
        <w:t>2</w:t>
      </w:r>
      <w:r>
        <w:rPr>
          <w:rFonts w:hint="eastAsia"/>
        </w:rPr>
        <w:t>。对比总量来看，要实现建筑节能和绿色建筑的普及，节能或绿色化改造的任务还非常重，在规划中应当予以重视。2</w:t>
      </w:r>
      <w:r>
        <w:t>.</w:t>
      </w:r>
      <w:r>
        <w:rPr>
          <w:rFonts w:hint="eastAsia"/>
        </w:rPr>
        <w:t>从存量的建筑质量来看，大部分没有达到节能或绿色建筑标准，距离超低能耗、零能耗建筑的要求更远。与新建建筑相比，存量建筑在节能和绿色化管理和提升难度更大，技术要求更复杂，更加需要政府引导和市场激励。我国既有的城镇住宅建筑以公寓楼形式为主，住宅建筑产权分散，由于业主的认识和经济水平不同，难以整体执行节能或绿色提升改造，甚至连老旧小区改造（加装电梯等）都存在很多障碍；既有公共建筑使用和管理主体为政府及事业单位，由于能源费用实行财政报销制度，运行管理部门多为事业编制，管理效率方面考虑较少，公共建筑运行管理水平有待提升；既有商业建筑在节能和绿色化提升方面需求较为明确，提升效率或绿色化水平能够带来市场收益的条件下，都有明确的主动性。3</w:t>
      </w:r>
      <w:r>
        <w:t>.</w:t>
      </w:r>
      <w:r>
        <w:rPr>
          <w:rFonts w:hint="eastAsia"/>
        </w:rPr>
        <w:t>从城市规划发展来看，既有建筑大多处于城市的较为核心地段，拥有较为便利的交通、教育和医疗条件，是城镇居民集中度较高的地方，也是体现一个城市整体风貌的地方；由于土地资源有限，城市发展也不能像“摊大饼”一样拓展，处于城市核心位置的存量建筑改善，是提升城市发展水平的重点。因此，存量的节能和绿色化改善对人们的生产生活有较大的影响，也是应当重视的原因。</w:t>
      </w:r>
    </w:p>
    <w:p w14:paraId="33175C08">
      <w:r>
        <w:rPr>
          <w:rFonts w:hint="eastAsia"/>
        </w:rPr>
        <w:t>因此，应着重开展以下几方面的任务：1）持续推进既有居住建筑节能改造。严寒及寒冷地区省市应结合北方地区清洁取暖要求，继续推进既有居住建筑节能改造、供热管网智能调控改造。完善适合夏热冬冷和夏热冬暖地区既有居住建筑节能改造的技术路线，并积极开展试点。积极探索以老旧小区建筑节能改造为重点，多层建筑加装电梯等适老设施改造、环境综合整治等同步实施的综合改造模式。研究推广城市社区规划，制定老旧小区节能宜居综合改造技术导则。创新改造投融资机制，研究探索建筑加层、扩展面积、委托物业服务及公共设施租赁等吸引社会资本投入改造的利益分配机制。2）不断强化公共建筑节能管理。深入推进公共建筑能耗统计、能源审计工作，建立健全能耗信息公示机制。加强公共建筑能耗动态监测平台建设管理，逐步加大城市级平台建设力度。强化监测数据的分析与应用，发挥数据对用能限额标准制定、电力需求侧管理等方面的支撑作用。引导各地制定公共建筑用能限额标准，并实施基于限额的重点用能建筑管理及用能价格差别化政策。开展公共建筑节能重点城市建设，推广合同能源管理、政府和社会资本合作模式等市场化改造模式。推动建立公共建筑运行调适制度。会同有关部门持续推动节约型学校、医院、科研院所建设，积极开展绿色校园、绿色医院评价及建设试点。鼓励有条件地区开展学校、医院节能及绿色化改造试点。</w:t>
      </w:r>
    </w:p>
    <w:p w14:paraId="22F3DAC0">
      <w:pPr>
        <w:pStyle w:val="57"/>
      </w:pPr>
      <w:bookmarkStart w:id="97" w:name="_Toc22068308"/>
      <w:r>
        <w:rPr>
          <w:rFonts w:hint="eastAsia"/>
        </w:rPr>
        <w:t>三、调整结构</w:t>
      </w:r>
      <w:bookmarkEnd w:id="97"/>
    </w:p>
    <w:p w14:paraId="772A1643">
      <w:r>
        <w:rPr>
          <w:rFonts w:hint="eastAsia"/>
        </w:rPr>
        <w:t>从当前技术发展水平看，建筑的能源供给结构对建筑节能和低碳发展的影响，与提升建筑物性能同等重要。此外，建筑用能结构还影响雾霾和环境治理。能源结构的调整，主要包括以下几个方面的问题：</w:t>
      </w:r>
    </w:p>
    <w:p w14:paraId="1E0729B1">
      <w:r>
        <w:rPr>
          <w:rFonts w:hint="eastAsia"/>
        </w:rPr>
        <w:t>第一，北方城镇供暖的能源结构调整。北方城镇集中供暖面积较大，同时工业余热量较多（北方地区钢铁、冶金等工厂较多，火电厂较多），有着良好的工业余热利用条件和余热资源，余热利用和大温差输配技术发展成熟，推动工业余热利用能够有效减少采暖煤耗和气耗。此外，农村清洁采暖问题也得到广泛重视，目前农村建筑性能较差（门窗气密性和围护结构保温性能）仍是主要矛盾，采暖技术适宜性还有待论证。</w:t>
      </w:r>
    </w:p>
    <w:p w14:paraId="50965278">
      <w:r>
        <w:rPr>
          <w:rFonts w:hint="eastAsia"/>
        </w:rPr>
        <w:t>第二，可再生能源与建筑的结合利用。自去年“</w:t>
      </w:r>
      <w:r>
        <w:t>5·31</w:t>
      </w:r>
      <w:r>
        <w:rPr>
          <w:rFonts w:hint="eastAsia"/>
        </w:rPr>
        <w:t>”政策发布以来，光伏技术已逐步实现平价上网，随着直流技术和储能技术的发展，光伏与建筑的结合技术和市场条件越来越成熟，“十四五”阶段应该积极探索光伏与建筑结合的方案，结合“零能耗建筑”等发展，合理利用地源、水源或空气源热泵技术，适应不同类型建筑的用能需求。取消对住宅太阳能热水强制政策，从实际工程应用情况来看，住宅集中式太阳能热水利用存在较多的问题，难以取得实际的节能效果，不宜继续强制安装。</w:t>
      </w:r>
    </w:p>
    <w:p w14:paraId="3EE82A77">
      <w:r>
        <w:rPr>
          <w:rFonts w:hint="eastAsia"/>
        </w:rPr>
        <w:t>第三，鼓励农村生物质利用。参考发达国家，农村生物质能的商品化，一方面能够减少碳排放，减少对化石能源的消耗，降低农民能源使用成本；另一方面也是帮助农民获得新的收入来源的途径。</w:t>
      </w:r>
    </w:p>
    <w:p w14:paraId="71C30B04">
      <w:r>
        <w:rPr>
          <w:rFonts w:hint="eastAsia"/>
        </w:rPr>
        <w:t>调整建筑能源使用结构，是响应国家能源供给侧改革的重要工作，也是实现建筑节能和绿色发展的重要保障。应从以下几方面开展具体工作：1</w:t>
      </w:r>
      <w:r>
        <w:t>)</w:t>
      </w:r>
      <w:r>
        <w:rPr>
          <w:rFonts w:hint="eastAsia"/>
        </w:rPr>
        <w:t>扩大可再生能源建筑应用规模。引导各地做好可再生能源资源条件勘察和建筑利用条件调查，编制可再生能源建筑应用规划。研究建立新建建筑工程可再生能源应用专项论证制度。加大太阳能光热系统在城市酒店、学校等有稳定热水需求的公共建筑中的推广力度。实施可再生能源清洁供暖工程，利用太阳能、空气热能、地热能等解决建筑供暖需求。鼓励在具备条件的建筑工程中应用太阳能光伏系统。做好“余热暖民”工程。积极拓展可再生能源在建筑领域的应用形式，推广高效空气源热泵技术及产品。在城市燃气未覆盖和污水厂周边地区，推广采用污水厂污泥制备沼气技术。2</w:t>
      </w:r>
      <w:r>
        <w:t>)</w:t>
      </w:r>
      <w:r>
        <w:rPr>
          <w:rFonts w:hint="eastAsia"/>
        </w:rPr>
        <w:t>提升可再生能源建筑应用质量。做好可再生能源建筑应用示范实践总结及后评估，对典型示范案例实施运行效果评价，总结项目实施经验，指导可再生能源建筑应用实践。强化可再生能源建筑应用运行管理，积极利用特许经营、能源托管等市场化模式，对项目实施专业化运行，确保项目稳定、高效。加强可再生能源建筑应用关键设备、产品质量管理。加强基础能力建设，建立健全可再生能源建筑应用标准体系，加快设计、施工、运行和维护阶段的技术标准制定和修订，加大从业人员的培训力度。</w:t>
      </w:r>
    </w:p>
    <w:p w14:paraId="63FFB0DB">
      <w:pPr>
        <w:pStyle w:val="57"/>
      </w:pPr>
      <w:bookmarkStart w:id="98" w:name="_Toc22068309"/>
      <w:r>
        <w:rPr>
          <w:rFonts w:hint="eastAsia"/>
        </w:rPr>
        <w:t>四、转变方式</w:t>
      </w:r>
      <w:bookmarkEnd w:id="98"/>
    </w:p>
    <w:p w14:paraId="4C30B83D">
      <w:pPr>
        <w:spacing w:line="360" w:lineRule="auto"/>
        <w:rPr>
          <w:szCs w:val="24"/>
        </w:rPr>
      </w:pPr>
      <w:r>
        <w:rPr>
          <w:rFonts w:hint="eastAsia"/>
          <w:szCs w:val="24"/>
        </w:rPr>
        <w:t>1</w:t>
      </w:r>
      <w:r>
        <w:rPr>
          <w:szCs w:val="24"/>
        </w:rPr>
        <w:t xml:space="preserve">. </w:t>
      </w:r>
      <w:r>
        <w:rPr>
          <w:rFonts w:hint="eastAsia"/>
          <w:szCs w:val="24"/>
        </w:rPr>
        <w:t>从建筑及相关部品技术角度，推动绿色建材、装配式、超低能耗建筑等技术的应用发展。</w:t>
      </w:r>
    </w:p>
    <w:p w14:paraId="56FE5F72">
      <w:pPr>
        <w:rPr>
          <w:szCs w:val="24"/>
        </w:rPr>
      </w:pPr>
      <w:r>
        <w:rPr>
          <w:rFonts w:hint="eastAsia"/>
          <w:szCs w:val="24"/>
        </w:rPr>
        <w:t>倡导绿色建筑精细化设计，提高绿色建筑设计水平，促进绿色建筑新技术、新产品应用。完善绿色建材评价体</w:t>
      </w:r>
      <w:r>
        <w:rPr>
          <w:rFonts w:hint="eastAsia"/>
        </w:rPr>
        <w:t>系建设，有步骤、有计划推进绿色建材评价标识工作。建立绿色建材产品质量追溯系统，动态发布绿色建材产品目录，营造良好市场环境。开展绿色建材产业化示范，在政府投资建设的项目中优先使用绿色建材。大力发展装配式建筑，加快建设装配式建筑生产基地，培育设计、生产、施工一体化龙头企业；完善装配式建筑相</w:t>
      </w:r>
      <w:r>
        <w:rPr>
          <w:rFonts w:hint="eastAsia"/>
          <w:szCs w:val="24"/>
        </w:rPr>
        <w:t>关政策、标准及技术体系。积极发展钢结构、现代木结构等建筑结构体系。积极引导绿色施工。推广绿色物业管理模式。以建筑垃圾处理和再利用为重点，加强再生建材生产技术、工艺和装备的研发及推广应用，提高建筑垃圾资源化利用比例。</w:t>
      </w:r>
    </w:p>
    <w:p w14:paraId="26399426">
      <w:pPr>
        <w:spacing w:line="360" w:lineRule="auto"/>
        <w:rPr>
          <w:szCs w:val="24"/>
        </w:rPr>
      </w:pPr>
      <w:r>
        <w:rPr>
          <w:rFonts w:hint="eastAsia"/>
          <w:szCs w:val="24"/>
        </w:rPr>
        <w:t>逐步将民用建筑执行绿色建筑标准纳入工程建设管理程序。加强和改进城市控制性详细规划编制工作，完善绿色建筑发展要求，引导各开发地块落实绿色控制指标，建筑工程按绿色建筑标准进行规划设计。完善和提高绿色建筑标准，完善绿色建筑施工图审查技术要点，制定绿色建筑施工质量验收规范。有条件地区适当提高政府投资公益性建筑、大型公共建筑、绿色生态城区及重点功能区内新建建筑中高性能绿色建筑建设比例。加强绿色建筑运营管理，确保各项绿色建筑技术措施发挥实际效果，激发绿色建筑的需求。加强绿色建筑评价标识项目质量事中事后监管。</w:t>
      </w:r>
    </w:p>
    <w:p w14:paraId="02B1F9BD">
      <w:pPr>
        <w:spacing w:line="360" w:lineRule="auto"/>
        <w:rPr>
          <w:szCs w:val="24"/>
        </w:rPr>
      </w:pPr>
      <w:r>
        <w:rPr>
          <w:rFonts w:hint="eastAsia"/>
          <w:szCs w:val="24"/>
        </w:rPr>
        <w:t>2</w:t>
      </w:r>
      <w:r>
        <w:rPr>
          <w:szCs w:val="24"/>
        </w:rPr>
        <w:t xml:space="preserve">. </w:t>
      </w:r>
      <w:r>
        <w:rPr>
          <w:rFonts w:hint="eastAsia"/>
          <w:szCs w:val="24"/>
        </w:rPr>
        <w:t>从政策与市场机制来看，鼓励市场积极发挥能动性。</w:t>
      </w:r>
    </w:p>
    <w:p w14:paraId="2B281090">
      <w:pPr>
        <w:spacing w:line="360" w:lineRule="auto"/>
        <w:rPr>
          <w:szCs w:val="24"/>
        </w:rPr>
      </w:pPr>
      <w:r>
        <w:rPr>
          <w:rFonts w:hint="eastAsia"/>
          <w:szCs w:val="24"/>
        </w:rPr>
        <w:t>从“十三五”发展情况来看，建筑节能和绿色发展的市场化程度还有待提高，积极发挥各类市场主体的作用，提升建筑节能和绿色的市场溢价，是建筑节能和绿色建筑持续发展的必要动力。为此，考虑从以下三个方面进行转变：</w:t>
      </w:r>
    </w:p>
    <w:p w14:paraId="22CEC6FF">
      <w:pPr>
        <w:spacing w:line="360" w:lineRule="auto"/>
        <w:rPr>
          <w:szCs w:val="24"/>
        </w:rPr>
      </w:pPr>
      <w:r>
        <w:rPr>
          <w:rFonts w:hint="eastAsia"/>
          <w:szCs w:val="24"/>
        </w:rPr>
        <w:t>第一，将政府强制技术要求，逐步转变为规划发展目标。</w:t>
      </w:r>
      <w:r>
        <w:rPr>
          <w:szCs w:val="24"/>
        </w:rPr>
        <w:t>2016</w:t>
      </w:r>
      <w:r>
        <w:rPr>
          <w:rFonts w:hint="eastAsia"/>
          <w:szCs w:val="24"/>
        </w:rPr>
        <w:t>年发布的《民用建筑能耗标准》（</w:t>
      </w:r>
      <w:r>
        <w:rPr>
          <w:szCs w:val="24"/>
        </w:rPr>
        <w:t>GB/T51161-2016</w:t>
      </w:r>
      <w:r>
        <w:rPr>
          <w:rFonts w:hint="eastAsia"/>
          <w:szCs w:val="24"/>
        </w:rPr>
        <w:t>）是一项国际先进的目标导向标准，建筑节能和绿色建筑管理完全可以继续加大对目标管理要求；从技术更新迭代周期看，规定目标比强制技术更好实施，更能起到引导市场持续发展的作用，可以提供一定的技术目录参考，但强制或对某类技术予以补贴，容易影响市场正常发展秩序，尤其建筑是一项工程项目，并非由某类或某些技术决定效果，甚至还需要运行管理的大力投入。因此，“十四五”期间有必要重视对建筑节能和绿色的各项发展目标的明确，逐步减少强制性技术要求。通过信息公示和培训宣传，带动公众参与监督。</w:t>
      </w:r>
    </w:p>
    <w:p w14:paraId="0AB0949F">
      <w:pPr>
        <w:spacing w:line="360" w:lineRule="auto"/>
        <w:rPr>
          <w:szCs w:val="24"/>
        </w:rPr>
      </w:pPr>
      <w:r>
        <w:rPr>
          <w:rFonts w:hint="eastAsia"/>
          <w:szCs w:val="24"/>
        </w:rPr>
        <w:t>第二，将政府指挥节能转变为积极参与，鼓励市场机制创新。加强对公共建筑（政府办公、交通枢纽、学校、医院和体育场馆等）的节能和绿色要求管理，并积极向公众信息公开，将政府定位为节能与绿色建筑的重要参与者，而不仅仅是裁判或管理者。一些不能达到节能和绿色要求的公共机构建筑，应该主动改造；新建项目应该有更高的节能和绿色要求。提升公共机构所使用建筑的节能和绿色性能，是带动市场各类主体参与，提升节能和绿色市场溢价的重要条件。</w:t>
      </w:r>
    </w:p>
    <w:p w14:paraId="41C9D535">
      <w:pPr>
        <w:spacing w:line="360" w:lineRule="auto"/>
        <w:rPr>
          <w:szCs w:val="24"/>
        </w:rPr>
      </w:pPr>
      <w:r>
        <w:rPr>
          <w:rFonts w:hint="eastAsia"/>
          <w:szCs w:val="24"/>
        </w:rPr>
        <w:t>第三，将重视建设过程，转变为关注建筑全寿命期。在过去发展的数十年间，建筑物性能是建筑节能和绿色发展的短板，技术体系不够完善，产品性能较差。当前，建筑的精细化运行管理成为建筑节能和绿色发展的短板，具体包括运行管理人员专业水平较低，设备设施运维复杂程度提高，环境品质要求提升等，这些问题也将是建筑节能和绿色建筑未来长期面临的问题。一方面，需要继续提升建筑及其系统的整体性能，实现硬件条件能够保证节能与绿色；另一方面，从设计、建设和运行等全过程考虑，加强政策引导、机制保障和宣传培训等，实现建筑节能和绿色建筑的持续发展。</w:t>
      </w:r>
    </w:p>
    <w:p w14:paraId="35B617BC">
      <w:pPr>
        <w:widowControl/>
        <w:suppressAutoHyphens w:val="0"/>
        <w:spacing w:line="240" w:lineRule="auto"/>
        <w:ind w:firstLine="0" w:firstLineChars="0"/>
        <w:jc w:val="left"/>
        <w:rPr>
          <w:szCs w:val="24"/>
        </w:rPr>
      </w:pPr>
      <w:r>
        <w:rPr>
          <w:szCs w:val="24"/>
        </w:rPr>
        <w:br w:type="page"/>
      </w:r>
    </w:p>
    <w:p w14:paraId="1372574A">
      <w:pPr>
        <w:spacing w:line="360" w:lineRule="auto"/>
        <w:rPr>
          <w:szCs w:val="24"/>
        </w:rPr>
      </w:pPr>
    </w:p>
    <w:p w14:paraId="5CFD24A0">
      <w:pPr>
        <w:pStyle w:val="40"/>
      </w:pPr>
      <w:bookmarkStart w:id="99" w:name="_Toc76743872"/>
      <w:r>
        <w:rPr>
          <w:rFonts w:hint="eastAsia"/>
        </w:rPr>
        <w:t xml:space="preserve">附件六 </w:t>
      </w:r>
      <w:r>
        <w:t xml:space="preserve"> </w:t>
      </w:r>
      <w:r>
        <w:rPr>
          <w:rFonts w:hint="eastAsia"/>
        </w:rPr>
        <w:t>国内外建筑新发展历程</w:t>
      </w:r>
      <w:bookmarkEnd w:id="99"/>
    </w:p>
    <w:p w14:paraId="6181C587">
      <w:pPr>
        <w:pStyle w:val="57"/>
      </w:pPr>
      <w:r>
        <w:rPr>
          <w:rFonts w:hint="eastAsia"/>
        </w:rPr>
        <w:t>第一部分 绿色建筑</w:t>
      </w:r>
    </w:p>
    <w:p w14:paraId="6634F3FD">
      <w:r>
        <w:t>我国的绿色建筑，依《绿色建筑评价标准》GB/T50378-2019的定义，是在全寿命期间，节约资源、保护环境、减少污染，为人们提供健康、适用、高效的使用空间，最大限度地实现人与自然和谐共生的高质量建筑。绿色建筑概念的核心，是从人性关怀、资源节约、环境友好的角度，思考人类的建设活动，使建筑能在与自然和谐共生的前提下持续发展。历年来国内外陆续开展了绿色建筑的建设工作，并取得了一定的成效，具体如下。</w:t>
      </w:r>
    </w:p>
    <w:p w14:paraId="240B3F0E">
      <w:pPr>
        <w:spacing w:line="360" w:lineRule="auto"/>
        <w:ind w:left="562" w:firstLine="562"/>
        <w:rPr>
          <w:rFonts w:ascii="Times New Roman" w:hAnsi="Times New Roman"/>
          <w:sz w:val="28"/>
          <w:szCs w:val="28"/>
          <w:lang w:val="zh-CN"/>
        </w:rPr>
      </w:pPr>
      <w:bookmarkStart w:id="100" w:name="_Toc42096242"/>
      <w:bookmarkStart w:id="101" w:name="_Toc37379161"/>
      <w:bookmarkStart w:id="102" w:name="_Toc26753582"/>
      <w:r>
        <w:rPr>
          <w:rFonts w:hint="eastAsia" w:ascii="Times New Roman" w:hAnsi="Times New Roman"/>
          <w:b/>
          <w:sz w:val="28"/>
          <w:szCs w:val="28"/>
          <w:lang w:val="zh-CN"/>
        </w:rPr>
        <w:t>一、</w:t>
      </w:r>
      <w:r>
        <w:rPr>
          <w:rFonts w:ascii="Times New Roman" w:hAnsi="Times New Roman"/>
          <w:b/>
          <w:sz w:val="28"/>
          <w:szCs w:val="28"/>
          <w:lang w:val="zh-CN"/>
        </w:rPr>
        <w:t>国际层面</w:t>
      </w:r>
      <w:bookmarkEnd w:id="100"/>
      <w:bookmarkEnd w:id="101"/>
      <w:bookmarkEnd w:id="102"/>
    </w:p>
    <w:p w14:paraId="469AA102">
      <w:pPr>
        <w:jc w:val="left"/>
      </w:pPr>
      <w:r>
        <w:t>1963年，维克多奥戈雅《设计结合气候：建筑地方主义的生物气候研究》概括总结了60年代以前建筑设计与气候地域关系的研究成果，提出了“生物气候地方主义”设计理论与方法；美籍意大利著名建筑师保罗把生态学（ecology）和建筑学（architecture）概念综合在一起，提出了著名的“生态建筑”（arology）新理念，使得人们对建筑的本质又有了新的认识，建筑领域的生态意识逐渐被唤醒</w:t>
      </w:r>
      <w:r>
        <w:rPr>
          <w:rFonts w:hint="eastAsia"/>
        </w:rPr>
        <w:t>。</w:t>
      </w:r>
      <w:r>
        <w:t>20世纪70年代，面对日趋恶化的生存条件和能源危机</w:t>
      </w:r>
      <w:r>
        <w:rPr>
          <w:rFonts w:hint="eastAsia"/>
        </w:rPr>
        <w:t>，</w:t>
      </w:r>
      <w:r>
        <w:t>尤其是阿拉伯石油公司石油禁运事件发生之后</w:t>
      </w:r>
      <w:r>
        <w:rPr>
          <w:rFonts w:hint="eastAsia"/>
        </w:rPr>
        <w:t>，</w:t>
      </w:r>
      <w:r>
        <w:t>更是激发了工业发达国家对建筑节能的研究兴趣，太阳能、地热、风能</w:t>
      </w:r>
      <w:r>
        <w:rPr>
          <w:rFonts w:hint="eastAsia"/>
        </w:rPr>
        <w:t>和</w:t>
      </w:r>
      <w:r>
        <w:t>节能围护结构等新技术应运而生</w:t>
      </w:r>
      <w:r>
        <w:rPr>
          <w:rFonts w:hint="eastAsia"/>
        </w:rPr>
        <w:t>。</w:t>
      </w:r>
      <w:r>
        <w:t>80年代开始，建筑</w:t>
      </w:r>
      <w:r>
        <w:rPr>
          <w:rFonts w:hint="eastAsia"/>
        </w:rPr>
        <w:t>家</w:t>
      </w:r>
      <w:r>
        <w:t>们就将目光逐渐聚焦在了建筑的历史性和地区性。他们基于实际情况，结合当地的自然条件、气候、经济状况、技术水平以及历史文化传统等方面的因素，来研究和设计人类的生存空间</w:t>
      </w:r>
      <w:r>
        <w:rPr>
          <w:rFonts w:hint="eastAsia"/>
        </w:rPr>
        <w:t>；</w:t>
      </w:r>
      <w:r>
        <w:t>进入90年代，世界各国关于可持续建筑的研究与发展又有了新的进展。1990年，英国率先制定了世界首个绿色建筑评估标准。1992年，在巴西的召开的“联合国环境与发展大会”使“可持续发展的概念”被国际社会广泛接受，并首次提出了绿色建筑概念。21世纪，绿色建筑迎来了蓬勃兴盛期，他的内涵与外延</w:t>
      </w:r>
      <w:r>
        <w:rPr>
          <w:rFonts w:hint="eastAsia"/>
        </w:rPr>
        <w:t>得</w:t>
      </w:r>
      <w:r>
        <w:t>到了极大的丰富。日本在绿色建筑方面提出了“建筑的节能与环境共存设计”与“环境共生住宅”的概念。继20世纪90年代英、美等国之后，全球引发了对绿色建筑评估的热潮，相继出台了符合地域特点的绿色建筑评估体系，如英国建筑研究院绿色建筑评估体系（Building Research Establishment Environmental Assessment Method</w:t>
      </w:r>
      <w:r>
        <w:rPr>
          <w:rFonts w:hint="eastAsia"/>
        </w:rPr>
        <w:t>，</w:t>
      </w:r>
      <w:r>
        <w:t>BREEAM）、美国绿色建筑协会发展的领先能源与环境设计（Leadership in Energy Environmental Efficiency，CASBEE）、德国可持续建筑协会的可持续建筑评估技术体系（Deutsche GesellschaftfurNachhaltiges Bauene.V.，DGNB）、加拿大的GBTOOL、澳大利亚的NABERS、挪威的Ecoprofile、法国的ESCALE、日本的CASBEE等。这些体系让绿色建筑关注到整体建筑设计流程，用可以识别的全国性认证来改变市场走向，促进绿色竞争和绿色供应，使得越来越多的绿色建筑作品不断涌现。</w:t>
      </w:r>
    </w:p>
    <w:p w14:paraId="4AD3FE24">
      <w:r>
        <w:t>在国外的绿色建筑中，比较典型的如英国BRE的环境楼和诺丁汉国内税务中心、德国爱森RWE办公楼、法国巴黎的联合国教科文组织的办公楼、美国匹兹堡的CI中心、开麦科灵市郊区住宅开发项目、澳大利亚悉尼的奥林匹克村、荷兰Delft大学图书馆、日本九州绿色高层住宅、新加坡南洋理工大学等。这些绿色建筑通过精妙的总体设计，结合自然通风、自然采光、</w:t>
      </w:r>
      <w:r>
        <w:rPr>
          <w:rFonts w:hint="eastAsia"/>
          <w:lang w:eastAsia="zh-CN"/>
        </w:rPr>
        <w:t>太阳</w:t>
      </w:r>
      <w:r>
        <w:t>能利用、地热利用、中水利用、绿色建材和智能控制等高新技术，充分展示了绿色建筑的魅力和广阔的发展前景。</w:t>
      </w:r>
    </w:p>
    <w:p w14:paraId="7C744A6F">
      <w:pPr>
        <w:spacing w:line="360" w:lineRule="auto"/>
        <w:ind w:left="562" w:firstLine="562"/>
        <w:rPr>
          <w:rFonts w:ascii="Times New Roman" w:hAnsi="Times New Roman"/>
          <w:sz w:val="28"/>
          <w:szCs w:val="28"/>
          <w:lang w:val="zh-CN"/>
        </w:rPr>
      </w:pPr>
      <w:bookmarkStart w:id="103" w:name="_Toc26753583"/>
      <w:bookmarkStart w:id="104" w:name="_Toc37379162"/>
      <w:bookmarkStart w:id="105" w:name="_Toc42096243"/>
      <w:r>
        <w:rPr>
          <w:rFonts w:hint="eastAsia" w:ascii="Times New Roman" w:hAnsi="Times New Roman"/>
          <w:b/>
          <w:sz w:val="28"/>
          <w:szCs w:val="28"/>
          <w:lang w:val="zh-CN"/>
        </w:rPr>
        <w:t>二、</w:t>
      </w:r>
      <w:r>
        <w:rPr>
          <w:rFonts w:ascii="Times New Roman" w:hAnsi="Times New Roman"/>
          <w:b/>
          <w:sz w:val="28"/>
          <w:szCs w:val="28"/>
          <w:lang w:val="zh-CN"/>
        </w:rPr>
        <w:t>国家层面</w:t>
      </w:r>
      <w:bookmarkEnd w:id="103"/>
      <w:bookmarkEnd w:id="104"/>
      <w:bookmarkEnd w:id="105"/>
    </w:p>
    <w:p w14:paraId="2FD2B1C9">
      <w:r>
        <w:t>我国节能建筑发展较早，早在1986年，国家就颁布实施了《北方地区居住建筑节能设计标准》，后续陆续出台了《节能中长期专项规划》、《中华人民共和国节约能源法》、《中华人民共和国可再生能源法》、《民用建筑节能设计标准》、《夏热冬冷地区居住建筑节能设计标准》、《夏热冬暖地区居住建筑节能设计标准》和《公共建筑节能设计标准》等法规政策。但在节能建筑基础上发展起来的绿色建筑体系起步较晚，但整体发展很快。从2006年第一版《绿色建筑评价标准》到2019版《绿色建筑评价标准》的10余年间，我国绿色建筑法规、标准持续完善，先后推出了《绿色建筑行动方案》、《绿色建筑评价标准》（GB/T50378-2006）、《绿色建筑评价技术细则（试行）》、《绿色建筑评价标识管理办法》、《绿色工业建筑评价导则》、《绿色工业建筑评价标准》等。总体而言，我国绿色建筑标准规范体系日趋完善，绿色建筑快速发展。2019年，在2014版《绿色建筑评价标准》的基础上进行修订（GB/T50378-2019）。修订后的标准评价目的由节地、节水、节材、节能和环境保护转变为安全耐久、健康舒适、生活便利、资源节约、环境宜居；标准适用于所有的新建、扩建与改建的住宅建筑或公共建筑。新的标准则是采用国际通用的计分方式，评定基本级、一、二、三星级，使得评价阶段更加明确，评价方法更加科学合理，提高了绿色建筑的实际价值，整体具有创新性。</w:t>
      </w:r>
    </w:p>
    <w:p w14:paraId="4E75053C">
      <w:r>
        <w:t>从时间维度上看，2012年以前，我国绿色建筑的发展整体较缓和，2012年以来政府在绿色建筑领域的补贴政策和强制措施的双管齐下，我国进入绿色建筑狂飙突进和爆发式增长的阶段，绿色建筑发展效益明显，全社会对绿色建筑的理念、认识和需求逐步提高。截至2017年12月，全国共评出10927个绿色建筑标识项目，建筑面积超过10亿</w:t>
      </w:r>
      <w:r>
        <w:rPr>
          <w:rFonts w:hint="eastAsia"/>
        </w:rPr>
        <w:t>平方米</w:t>
      </w:r>
      <w:r>
        <w:t>。</w:t>
      </w:r>
    </w:p>
    <w:p w14:paraId="422F696C">
      <w:pPr>
        <w:ind w:firstLine="0" w:firstLineChars="0"/>
        <w:rPr>
          <w:rFonts w:ascii="Times New Roman" w:hAnsi="Times New Roman"/>
          <w:sz w:val="28"/>
          <w:szCs w:val="28"/>
        </w:rPr>
      </w:pPr>
      <w:r>
        <w:rPr>
          <w:rFonts w:ascii="Times New Roman" w:hAnsi="Times New Roman"/>
          <w:sz w:val="28"/>
          <w:szCs w:val="28"/>
        </w:rPr>
        <w:drawing>
          <wp:inline distT="0" distB="0" distL="0" distR="0">
            <wp:extent cx="5307330" cy="2342515"/>
            <wp:effectExtent l="0" t="0" r="762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5371405" cy="2371146"/>
                    </a:xfrm>
                    <a:prstGeom prst="rect">
                      <a:avLst/>
                    </a:prstGeom>
                    <a:noFill/>
                    <a:ln>
                      <a:noFill/>
                    </a:ln>
                    <a:effectLst/>
                  </pic:spPr>
                </pic:pic>
              </a:graphicData>
            </a:graphic>
          </wp:inline>
        </w:drawing>
      </w:r>
    </w:p>
    <w:p w14:paraId="6B862E3E">
      <w:r>
        <w:rPr>
          <w:rFonts w:hint="eastAsia"/>
        </w:rPr>
        <w:t>图</w:t>
      </w:r>
      <w:r>
        <w:t>8</w:t>
      </w:r>
      <w:r>
        <w:rPr>
          <w:rFonts w:hint="eastAsia"/>
        </w:rPr>
        <w:t>-</w:t>
      </w:r>
      <w:r>
        <w:t>12 中国绿色建筑项目数量统计图</w:t>
      </w:r>
    </w:p>
    <w:p w14:paraId="0D7CF65F">
      <w:r>
        <w:t>从区域层面看，江苏、广东、山东、上海为首的东南沿海优势明显，项目分布较为集中，排名前十位地区的项目数量占全国总数的70.8%。</w:t>
      </w:r>
    </w:p>
    <w:p w14:paraId="67461586">
      <w:pPr>
        <w:ind w:firstLine="560"/>
        <w:jc w:val="center"/>
        <w:rPr>
          <w:rFonts w:ascii="Times New Roman" w:hAnsi="Times New Roman"/>
          <w:sz w:val="28"/>
          <w:szCs w:val="28"/>
        </w:rPr>
      </w:pPr>
      <w:r>
        <w:rPr>
          <w:rFonts w:ascii="Times New Roman" w:hAnsi="Times New Roman"/>
          <w:sz w:val="28"/>
          <w:szCs w:val="28"/>
        </w:rPr>
        <w:drawing>
          <wp:inline distT="0" distB="0" distL="0" distR="0">
            <wp:extent cx="5340350" cy="18484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5374088" cy="1860429"/>
                    </a:xfrm>
                    <a:prstGeom prst="rect">
                      <a:avLst/>
                    </a:prstGeom>
                    <a:noFill/>
                    <a:ln>
                      <a:noFill/>
                    </a:ln>
                    <a:effectLst/>
                  </pic:spPr>
                </pic:pic>
              </a:graphicData>
            </a:graphic>
          </wp:inline>
        </w:drawing>
      </w:r>
    </w:p>
    <w:p w14:paraId="1F85C79E">
      <w:r>
        <w:rPr>
          <w:rFonts w:hint="eastAsia"/>
        </w:rPr>
        <w:t>图</w:t>
      </w:r>
      <w:r>
        <w:t>8</w:t>
      </w:r>
      <w:r>
        <w:rPr>
          <w:rFonts w:hint="eastAsia"/>
        </w:rPr>
        <w:t>-</w:t>
      </w:r>
      <w:r>
        <w:t>13 各省市绿色建筑项目数</w:t>
      </w:r>
    </w:p>
    <w:p w14:paraId="568BD5A2">
      <w:r>
        <w:t>从项目分布来看，项目数量在100个以上的地区占40.6%，项目数量在30～100个地区占34.4%，项目数量在10～30个的地区占15.6%，项目数量不足10个的地区占9.4%。</w:t>
      </w:r>
    </w:p>
    <w:p w14:paraId="18B9B197">
      <w:pPr>
        <w:jc w:val="center"/>
        <w:rPr>
          <w:rFonts w:ascii="Times New Roman" w:hAnsi="Times New Roman"/>
          <w:sz w:val="28"/>
          <w:szCs w:val="28"/>
        </w:rPr>
      </w:pPr>
      <w:r>
        <mc:AlternateContent>
          <mc:Choice Requires="wpg">
            <w:drawing>
              <wp:inline distT="0" distB="0" distL="0" distR="0">
                <wp:extent cx="5904230" cy="2926080"/>
                <wp:effectExtent l="0" t="0" r="1270" b="1270"/>
                <wp:docPr id="34" name="组合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04230" cy="2926080"/>
                          <a:chOff x="3381" y="3555"/>
                          <a:chExt cx="13937" cy="6896"/>
                        </a:xfrm>
                      </wpg:grpSpPr>
                      <pic:pic xmlns:pic="http://schemas.openxmlformats.org/drawingml/2006/picture">
                        <pic:nvPicPr>
                          <pic:cNvPr id="35" name="图片 105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3381" y="3555"/>
                            <a:ext cx="8249" cy="6897"/>
                          </a:xfrm>
                          <a:prstGeom prst="rect">
                            <a:avLst/>
                          </a:prstGeom>
                          <a:noFill/>
                        </pic:spPr>
                      </pic:pic>
                      <pic:pic xmlns:pic="http://schemas.openxmlformats.org/drawingml/2006/picture">
                        <pic:nvPicPr>
                          <pic:cNvPr id="36" name="图片 1055"/>
                          <pic:cNvPicPr>
                            <a:picLocks noChangeAspect="1" noChangeArrowheads="1"/>
                          </pic:cNvPicPr>
                        </pic:nvPicPr>
                        <pic:blipFill>
                          <a:blip r:embed="rId56">
                            <a:extLst>
                              <a:ext uri="{28A0092B-C50C-407E-A947-70E740481C1C}">
                                <a14:useLocalDpi xmlns:a14="http://schemas.microsoft.com/office/drawing/2010/main" val="0"/>
                              </a:ext>
                            </a:extLst>
                          </a:blip>
                          <a:srcRect l="64323" t="43098" r="17006" b="28621"/>
                          <a:stretch>
                            <a:fillRect/>
                          </a:stretch>
                        </pic:blipFill>
                        <pic:spPr>
                          <a:xfrm>
                            <a:off x="13270" y="7425"/>
                            <a:ext cx="1860" cy="1980"/>
                          </a:xfrm>
                          <a:prstGeom prst="rect">
                            <a:avLst/>
                          </a:prstGeom>
                          <a:noFill/>
                        </pic:spPr>
                      </pic:pic>
                      <wps:wsp>
                        <wps:cNvPr id="37" name="内容占位符 3"/>
                        <wps:cNvSpPr txBox="1">
                          <a:spLocks noChangeArrowheads="1"/>
                        </wps:cNvSpPr>
                        <wps:spPr bwMode="auto">
                          <a:xfrm>
                            <a:off x="10656" y="5563"/>
                            <a:ext cx="6663" cy="815"/>
                          </a:xfrm>
                          <a:prstGeom prst="rect">
                            <a:avLst/>
                          </a:prstGeom>
                          <a:noFill/>
                          <a:ln>
                            <a:noFill/>
                          </a:ln>
                        </wps:spPr>
                        <wps:txbx>
                          <w:txbxContent>
                            <w:p w14:paraId="2F26A732"/>
                          </w:txbxContent>
                        </wps:txbx>
                        <wps:bodyPr rot="0" vert="horz" wrap="square" lIns="91440" tIns="45720" rIns="91440" bIns="45720" anchor="t" anchorCtr="0" upright="1">
                          <a:noAutofit/>
                        </wps:bodyPr>
                      </wps:wsp>
                    </wpg:wgp>
                  </a:graphicData>
                </a:graphic>
              </wp:inline>
            </w:drawing>
          </mc:Choice>
          <mc:Fallback>
            <w:pict>
              <v:group id="组合 35" o:spid="_x0000_s1026" o:spt="203" style="height:230.4pt;width:464.9pt;" coordorigin="3381,3555" coordsize="13937,6896" o:gfxdata="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M4oAKKM0A5oAKKKKACiijOKACijNGa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">
                <o:lock v:ext="edit" aspectratio="t"/>
                <v:shape id="图片 1056" o:spid="_x0000_s1026" o:spt="75" type="#_x0000_t75" style="position:absolute;left:3381;top:3555;height:6897;width:8249;" filled="f" o:preferrelative="t" stroked="f" coordsize="21600,21600" o:gfxdata="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WI7KvQAA&#10;ANsAAAAPAAAAAAAAAAEAIAAAACIAAABkcnMvZG93bnJldi54bWxQSwECFAAUAAAACACHTuJAMy8F&#10;njsAAAA5AAAAEAAAAAAAAAABACAAAAAMAQAAZHJzL3NoYXBleG1sLnhtbFBLBQYAAAAABgAGAFsB&#10;AAC2AwAAAAA=&#10;">
                  <v:fill on="f" focussize="0,0"/>
                  <v:stroke on="f"/>
                  <v:imagedata r:id="rId55" o:title=""/>
                  <o:lock v:ext="edit" aspectratio="t"/>
                </v:shape>
                <v:shape id="图片 1055" o:spid="_x0000_s1026" o:spt="75" type="#_x0000_t75" style="position:absolute;left:13270;top:7425;height:1980;width:1860;" filled="f" o:preferrelative="t" stroked="f" coordsize="21600,21600" o:gfxdata="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SrfNb4A&#10;AADbAAAADwAAAAAAAAABACAAAAAiAAAAZHJzL2Rvd25yZXYueG1sUEsBAhQAFAAAAAgAh07iQDMv&#10;BZ47AAAAOQAAABAAAAAAAAAAAQAgAAAADQEAAGRycy9zaGFwZXhtbC54bWxQSwUGAAAAAAYABgBb&#10;AQAAtwMAAAAA&#10;">
                  <v:fill on="f" focussize="0,0"/>
                  <v:stroke on="f"/>
                  <v:imagedata r:id="rId56" cropleft="42155f" croptop="28245f" cropright="11145f" cropbottom="18757f" o:title=""/>
                  <o:lock v:ext="edit" aspectratio="t"/>
                </v:shape>
                <v:shape id="内容占位符 3" o:spid="_x0000_s1026" o:spt="202" type="#_x0000_t202" style="position:absolute;left:10656;top:5563;height:815;width:6663;" filled="f" stroked="f" coordsize="21600,21600" o:gfxdata="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vQu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F26A732"/>
                    </w:txbxContent>
                  </v:textbox>
                </v:shape>
                <w10:wrap type="none"/>
                <w10:anchorlock/>
              </v:group>
            </w:pict>
          </mc:Fallback>
        </mc:AlternateContent>
      </w:r>
    </w:p>
    <w:p w14:paraId="5766D4AC">
      <w:r>
        <w:rPr>
          <w:rFonts w:hint="eastAsia"/>
        </w:rPr>
        <w:t>图</w:t>
      </w:r>
      <w:r>
        <w:t>8</w:t>
      </w:r>
      <w:r>
        <w:rPr>
          <w:rFonts w:hint="eastAsia"/>
        </w:rPr>
        <w:t>-</w:t>
      </w:r>
      <w:r>
        <w:t>14 各省市绿色建筑项目数与GDP关系图</w:t>
      </w:r>
    </w:p>
    <w:p w14:paraId="2271B8D3">
      <w:r>
        <w:t>从项目类型分布看，公共建筑略高与住宅建筑，工业建筑不足0.6%。</w:t>
      </w:r>
    </w:p>
    <w:p w14:paraId="1EFF24B7">
      <w:pPr>
        <w:ind w:firstLine="560"/>
        <w:jc w:val="center"/>
        <w:rPr>
          <w:rFonts w:ascii="Times New Roman" w:hAnsi="Times New Roman"/>
          <w:sz w:val="28"/>
          <w:szCs w:val="28"/>
        </w:rPr>
      </w:pPr>
      <w:r>
        <w:rPr>
          <w:rFonts w:ascii="Times New Roman" w:hAnsi="Times New Roman"/>
          <w:sz w:val="28"/>
          <w:szCs w:val="28"/>
        </w:rPr>
        <w:drawing>
          <wp:inline distT="0" distB="0" distL="0" distR="0">
            <wp:extent cx="2337435" cy="218313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7">
                      <a:clrChange>
                        <a:clrFrom>
                          <a:srgbClr val="E8E8E8"/>
                        </a:clrFrom>
                        <a:clrTo>
                          <a:srgbClr val="E8E8E8">
                            <a:alpha val="0"/>
                          </a:srgbClr>
                        </a:clrTo>
                      </a:clrChange>
                      <a:extLst>
                        <a:ext uri="{28A0092B-C50C-407E-A947-70E740481C1C}">
                          <a14:useLocalDpi xmlns:a14="http://schemas.microsoft.com/office/drawing/2010/main" val="0"/>
                        </a:ext>
                      </a:extLst>
                    </a:blip>
                    <a:srcRect/>
                    <a:stretch>
                      <a:fillRect/>
                    </a:stretch>
                  </pic:blipFill>
                  <pic:spPr>
                    <a:xfrm>
                      <a:off x="0" y="0"/>
                      <a:ext cx="2341226" cy="2186639"/>
                    </a:xfrm>
                    <a:prstGeom prst="rect">
                      <a:avLst/>
                    </a:prstGeom>
                    <a:noFill/>
                    <a:ln>
                      <a:noFill/>
                    </a:ln>
                    <a:effectLst/>
                  </pic:spPr>
                </pic:pic>
              </a:graphicData>
            </a:graphic>
          </wp:inline>
        </w:drawing>
      </w:r>
    </w:p>
    <w:p w14:paraId="5B959316">
      <w:pPr>
        <w:rPr>
          <w:szCs w:val="24"/>
        </w:rPr>
      </w:pPr>
      <w:r>
        <w:rPr>
          <w:rFonts w:hint="eastAsia"/>
        </w:rPr>
        <w:t>图</w:t>
      </w:r>
      <w:r>
        <w:t>8</w:t>
      </w:r>
      <w:r>
        <w:rPr>
          <w:rFonts w:hint="eastAsia"/>
        </w:rPr>
        <w:t>-</w:t>
      </w:r>
      <w:r>
        <w:t>15 中国绿色建筑项目类型占比图</w:t>
      </w:r>
    </w:p>
    <w:p w14:paraId="7B9755ED">
      <w:pPr>
        <w:pStyle w:val="57"/>
      </w:pPr>
      <w:r>
        <w:rPr>
          <w:rFonts w:hint="eastAsia"/>
        </w:rPr>
        <w:t>第二部分</w:t>
      </w:r>
      <w:r>
        <w:t xml:space="preserve"> </w:t>
      </w:r>
      <w:r>
        <w:rPr>
          <w:rFonts w:hint="eastAsia"/>
        </w:rPr>
        <w:t>超低能耗建筑</w:t>
      </w:r>
    </w:p>
    <w:p w14:paraId="65A28307">
      <w:pPr>
        <w:spacing w:line="360" w:lineRule="auto"/>
        <w:ind w:left="562" w:firstLine="562"/>
        <w:rPr>
          <w:rFonts w:ascii="Times New Roman" w:hAnsi="Times New Roman"/>
          <w:sz w:val="28"/>
          <w:szCs w:val="28"/>
          <w:lang w:val="zh-CN"/>
        </w:rPr>
      </w:pPr>
      <w:r>
        <w:rPr>
          <w:rFonts w:hint="eastAsia" w:ascii="Times New Roman" w:hAnsi="Times New Roman"/>
          <w:b/>
          <w:sz w:val="28"/>
          <w:szCs w:val="28"/>
          <w:lang w:val="zh-CN"/>
        </w:rPr>
        <w:t>一、</w:t>
      </w:r>
      <w:r>
        <w:rPr>
          <w:rFonts w:ascii="Times New Roman" w:hAnsi="Times New Roman"/>
          <w:b/>
          <w:sz w:val="28"/>
          <w:szCs w:val="28"/>
          <w:lang w:val="zh-CN"/>
        </w:rPr>
        <w:t>国际层面</w:t>
      </w:r>
    </w:p>
    <w:p w14:paraId="7750368B">
      <w:pPr>
        <w:rPr>
          <w:lang w:val="zh-CN"/>
        </w:rPr>
      </w:pPr>
      <w:r>
        <w:rPr>
          <w:lang w:val="zh-CN"/>
        </w:rPr>
        <w:t>受能源价格波动等因素影响，关于被动式超低能耗绿色建筑的相关研究逐渐增多，针对欧洲诸多偏远建筑物无法与区域热网和电网相连接的情况，1992年，德国Fraunhofer太阳能研究所的Voss.K等人通过使用太阳能光热光电技术对德国一栋建筑物进行供热供暖，并进行了为期三年的检测研究发现：在气候较为温和的欧洲部分地区，通过精心设计可以使建筑物全年总能耗降低到10千瓦时/平方米以下，且建筑物所有能耗需求可以由太阳能提供。Voss.K由此提出“无源建筑”，即无需和外界能源基础设施相连，通过太阳能光热光电系统与蓄能技术集成应用，保证建筑所有时段能源供应的建筑。“无源建筑”要求建筑物在以年为时间单位的时段内达到能量或排放量中和。</w:t>
      </w:r>
    </w:p>
    <w:p w14:paraId="0A8C6AD6">
      <w:pPr>
        <w:rPr>
          <w:lang w:val="zh-CN"/>
        </w:rPr>
      </w:pPr>
      <w:r>
        <w:rPr>
          <w:lang w:val="zh-CN"/>
        </w:rPr>
        <w:t>考虑到建筑物与电网连接的情况，Voss.K等人结合太阳能光电技术发展，进一步提出定义“零能耗建筑”，其定义为：自身可发电，通过与公共电网相连，既可以将建筑物发电上网也可以使用电网为建筑物供电，在以年为单位的情况下，一次能源产生和消耗可以达到平衡的建筑物。</w:t>
      </w:r>
    </w:p>
    <w:p w14:paraId="5D2D35B4">
      <w:pPr>
        <w:rPr>
          <w:lang w:val="zh-CN"/>
        </w:rPr>
      </w:pPr>
      <w:r>
        <w:rPr>
          <w:lang w:val="zh-CN"/>
        </w:rPr>
        <w:t>Kilkis.S等人认为，仅仅使建筑物达到零能耗并不能解决由建筑物耗能引起的全球变暖问题，研究零能耗建筑，除了应该考虑数量平衡外，还应该考虑质量平衡，即引入“火用”的概念。假设一栋零能耗建筑与区域能源系统相连，可以从区域能源系统中获得高温热水和电能，也可向区域管网提供同等能量的低温热水和电能，其获取和提供的热量的“火用”值并不平衡，这样建筑物仍然会对环境产生负面影响。因此Kilkis定义了“净零火用建筑”：在区域能源网中，在特定时间段内，建筑与能源系统互相输入输出的火用值为零的建筑物。</w:t>
      </w:r>
    </w:p>
    <w:p w14:paraId="562F4A1D">
      <w:pPr>
        <w:rPr>
          <w:lang w:val="zh-CN"/>
        </w:rPr>
      </w:pPr>
      <w:r>
        <w:rPr>
          <w:lang w:val="zh-CN"/>
        </w:rPr>
        <w:t>由于“零能耗建筑”在实现上还较为困难且成本较高，欧洲目前公认的更加广泛的可实施的为“超低能耗建筑”（</w:t>
      </w:r>
      <w:r>
        <w:t>N</w:t>
      </w:r>
      <w:r>
        <w:rPr>
          <w:lang w:val="zh-CN"/>
        </w:rPr>
        <w:t>early</w:t>
      </w:r>
      <w:r>
        <w:t>Z</w:t>
      </w:r>
      <w:r>
        <w:rPr>
          <w:lang w:val="zh-CN"/>
        </w:rPr>
        <w:t>ero-energy</w:t>
      </w:r>
      <w:r>
        <w:t>B</w:t>
      </w:r>
      <w:r>
        <w:rPr>
          <w:lang w:val="zh-CN"/>
        </w:rPr>
        <w:t>uildings）。对于“超低能耗建筑”，各国定义不同，如德国的“被动房”（PassiveHouse，也翻译为微能耗建筑、零能耗建筑），指在满足规范要求的舒适度和健康标准的前提下，全年供暖通风空调系统的能耗在0-15</w:t>
      </w:r>
      <w:r>
        <w:rPr>
          <w:rFonts w:hint="eastAsia"/>
          <w:lang w:val="zh-CN"/>
        </w:rPr>
        <w:t>千瓦时</w:t>
      </w:r>
      <w:r>
        <w:rPr>
          <w:lang w:val="zh-CN"/>
        </w:rPr>
        <w:t>/（</w:t>
      </w:r>
      <w:r>
        <w:rPr>
          <w:rFonts w:hint="eastAsia"/>
          <w:lang w:val="zh-CN"/>
        </w:rPr>
        <w:t>平方米</w:t>
      </w:r>
      <w:r>
        <w:t>·</w:t>
      </w:r>
      <w:r>
        <w:rPr>
          <w:lang w:val="zh-CN"/>
        </w:rPr>
        <w:t>年）的范围内、建筑物总能耗低于120</w:t>
      </w:r>
      <w:r>
        <w:rPr>
          <w:rFonts w:hint="eastAsia"/>
          <w:lang w:val="zh-CN"/>
        </w:rPr>
        <w:t>千瓦时</w:t>
      </w:r>
      <w:r>
        <w:rPr>
          <w:lang w:val="zh-CN"/>
        </w:rPr>
        <w:t>/（</w:t>
      </w:r>
      <w:r>
        <w:rPr>
          <w:rFonts w:hint="eastAsia"/>
          <w:lang w:val="zh-CN"/>
        </w:rPr>
        <w:t>平方米</w:t>
      </w:r>
      <w:r>
        <w:t>·</w:t>
      </w:r>
      <w:r>
        <w:rPr>
          <w:lang w:val="zh-CN"/>
        </w:rPr>
        <w:t>年）的建筑；瑞士的“近零能耗房”（Minergie，也称迷你能耗房，或迷你能耗标准），要求按此标准建造的建筑其总体能耗不高于常规建筑的75%，化石燃料消耗低于常规建筑的50%；意大利的“气候房”（ClimateHouse，Casaclima），指全年供暖通风空调系统的能耗在30</w:t>
      </w:r>
      <w:r>
        <w:rPr>
          <w:rFonts w:hint="eastAsia"/>
          <w:lang w:val="zh-CN"/>
        </w:rPr>
        <w:t>千瓦时</w:t>
      </w:r>
      <w:r>
        <w:rPr>
          <w:lang w:val="zh-CN"/>
        </w:rPr>
        <w:t>/（</w:t>
      </w:r>
      <w:r>
        <w:rPr>
          <w:rFonts w:hint="eastAsia"/>
          <w:lang w:val="zh-CN"/>
        </w:rPr>
        <w:t>平方米</w:t>
      </w:r>
      <w:r>
        <w:t>·</w:t>
      </w:r>
      <w:r>
        <w:rPr>
          <w:lang w:val="zh-CN"/>
        </w:rPr>
        <w:t>年）以下的建筑。</w:t>
      </w:r>
    </w:p>
    <w:p w14:paraId="0CF2151D">
      <w:pPr>
        <w:rPr>
          <w:lang w:val="zh-CN"/>
        </w:rPr>
      </w:pPr>
      <w:r>
        <w:rPr>
          <w:lang w:val="zh-CN"/>
        </w:rPr>
        <w:t>总之，“超低能耗建筑”一词及相关定义从最早提出，到被各国科研界广泛重视、国际组织试图通过国际合作对其进行统一定义，经历了30余年的发展过程。随着太阳能供热技术、太阳能光电技术、建筑蓄能技术、区域蓄能技术、能源管理系统等技术的不断升级，定义的内涵和外延也在不断变化。</w:t>
      </w:r>
    </w:p>
    <w:p w14:paraId="52D2DADE">
      <w:pPr>
        <w:rPr>
          <w:lang w:val="zh-CN"/>
        </w:rPr>
      </w:pPr>
      <w:r>
        <w:rPr>
          <w:lang w:val="zh-CN"/>
        </w:rPr>
        <w:t>近些年，随着气候变化和低碳发展的概念深入人心，一些国家提出了“超低/零能耗建筑”的中长期发展目标、技术路线等政策法规文件。主要经济体通过相关项目的设置和推广逐步推进“超低/零能耗建筑”相关工作。</w:t>
      </w:r>
    </w:p>
    <w:p w14:paraId="41558B27">
      <w:pPr>
        <w:spacing w:line="360" w:lineRule="auto"/>
        <w:ind w:left="562" w:firstLine="482"/>
        <w:rPr>
          <w:rFonts w:ascii="Times New Roman" w:hAnsi="Times New Roman"/>
          <w:b/>
          <w:szCs w:val="28"/>
        </w:rPr>
      </w:pPr>
      <w:bookmarkStart w:id="106" w:name="_Toc27034"/>
      <w:r>
        <w:rPr>
          <w:rFonts w:hint="eastAsia" w:ascii="Times New Roman" w:hAnsi="Times New Roman"/>
          <w:b/>
          <w:szCs w:val="28"/>
        </w:rPr>
        <w:t>（</w:t>
      </w:r>
      <w:r>
        <w:rPr>
          <w:rFonts w:hint="eastAsia" w:ascii="Times New Roman" w:hAnsi="Times New Roman"/>
          <w:szCs w:val="28"/>
          <w:lang w:val="zh-CN"/>
        </w:rPr>
        <w:t>一）</w:t>
      </w:r>
      <w:r>
        <w:rPr>
          <w:rFonts w:hint="eastAsia" w:ascii="Times New Roman" w:hAnsi="Times New Roman"/>
          <w:b/>
          <w:szCs w:val="28"/>
        </w:rPr>
        <w:t>德国</w:t>
      </w:r>
      <w:bookmarkEnd w:id="106"/>
    </w:p>
    <w:p w14:paraId="2C814054">
      <w:pPr>
        <w:rPr>
          <w:lang w:val="zh-CN"/>
        </w:rPr>
      </w:pPr>
      <w:r>
        <w:rPr>
          <w:lang w:val="zh-CN"/>
        </w:rPr>
        <w:t>被动房的定义为“被动房是一个节能、舒适的建筑节能标准，比既有建筑节能90%以上，比新建建筑节能75%以上；利用高性能围护结构、太阳得热、热回收等技术使建筑不再需要传统的供热系统，并通过通风系统供应持续的新风”。从定义可以看出，被动房通过采用高性能的围护结构将建筑热需求降低，仅需充分利用太阳能和室内的得热即可解决冬季供暖问题。同时通过采用高效热回收系统的新风系统向室内提供清洁的新鲜空气，营造良好舒适的室内环境。即使在极端寒冷的前期下，被动房仅需要使用很少的辅助能源就能满足室内舒适度要求。可以看出被动房主要着眼于解决冬季供暖问题，所应用技术也以解决供暖为主，对应用在夏季需要主动供冷的地区的研究较少。</w:t>
      </w:r>
    </w:p>
    <w:p w14:paraId="6E08B942">
      <w:pPr>
        <w:rPr>
          <w:lang w:val="zh-CN"/>
        </w:rPr>
      </w:pPr>
      <w:r>
        <w:rPr>
          <w:lang w:val="zh-CN"/>
        </w:rPr>
        <w:t>德国被动房的概念最早源于瑞典隆德大学的BoAdamson（1986年）参加中瑞合作项目工作时，为改善我国长江流域室内建筑环境恶劣的现状提出的解决方案。1988年被动房概念首次被提出，1991年第一栋被动房在德国达姆施塔特被建造，经历了20多年的发展，德国被动房已经成为具有完备技术体系的自愿性超低能耗建筑标准。目前，已经有60000多栋的房屋按照被动房标准建造，其中有约30000栋建筑获得了被动房的认证，主要以住宅为主，也涵盖办公、学校、酒店等类型的建筑。</w:t>
      </w:r>
    </w:p>
    <w:p w14:paraId="400B6A39">
      <w:pPr>
        <w:rPr>
          <w:lang w:val="zh-CN"/>
        </w:rPr>
      </w:pPr>
      <w:r>
        <w:rPr>
          <w:lang w:val="zh-CN"/>
        </w:rPr>
        <w:t>德国被动房研究所（</w:t>
      </w:r>
      <w:r>
        <w:t>P</w:t>
      </w:r>
      <w:r>
        <w:rPr>
          <w:lang w:val="zh-CN"/>
        </w:rPr>
        <w:t>assive</w:t>
      </w:r>
      <w:r>
        <w:t>H</w:t>
      </w:r>
      <w:r>
        <w:rPr>
          <w:lang w:val="zh-CN"/>
        </w:rPr>
        <w:t>ouseinstitute，PHI）是被动房研究和认证的权威机构。德国被动房的认证要求简洁凝练，其认证的要求为：1、供暖能耗：供暖能耗≤15</w:t>
      </w:r>
      <w:r>
        <w:rPr>
          <w:rFonts w:hint="eastAsia"/>
          <w:lang w:val="zh-CN"/>
        </w:rPr>
        <w:t>千瓦时</w:t>
      </w:r>
      <w:r>
        <w:rPr>
          <w:lang w:val="zh-CN"/>
        </w:rPr>
        <w:t>/（</w:t>
      </w:r>
      <w:r>
        <w:rPr>
          <w:rFonts w:hint="eastAsia"/>
          <w:lang w:val="zh-CN"/>
        </w:rPr>
        <w:t>平方米</w:t>
      </w:r>
      <w:r>
        <w:t>·</w:t>
      </w:r>
      <w:r>
        <w:rPr>
          <w:rFonts w:hint="eastAsia"/>
          <w:lang w:val="zh-CN"/>
        </w:rPr>
        <w:t>年</w:t>
      </w:r>
      <w:r>
        <w:rPr>
          <w:lang w:val="zh-CN"/>
        </w:rPr>
        <w:t>）或热负荷≤10</w:t>
      </w:r>
      <w:r>
        <w:rPr>
          <w:rFonts w:hint="eastAsia"/>
          <w:lang w:val="zh-CN"/>
        </w:rPr>
        <w:t>瓦</w:t>
      </w:r>
      <w:r>
        <w:rPr>
          <w:lang w:val="zh-CN"/>
        </w:rPr>
        <w:t>/</w:t>
      </w:r>
      <w:r>
        <w:rPr>
          <w:rFonts w:hint="eastAsia"/>
          <w:lang w:val="zh-CN"/>
        </w:rPr>
        <w:t>平方米</w:t>
      </w:r>
      <w:r>
        <w:rPr>
          <w:lang w:val="zh-CN"/>
        </w:rPr>
        <w:t>；当采用空调时，对供冷能耗的要求与供暖能耗一致；2、建筑一次能源用量≤120</w:t>
      </w:r>
      <w:r>
        <w:rPr>
          <w:rFonts w:hint="eastAsia"/>
          <w:lang w:val="zh-CN"/>
        </w:rPr>
        <w:t>千瓦时</w:t>
      </w:r>
      <w:r>
        <w:rPr>
          <w:lang w:val="zh-CN"/>
        </w:rPr>
        <w:t>/（</w:t>
      </w:r>
      <w:r>
        <w:rPr>
          <w:rFonts w:hint="eastAsia"/>
          <w:lang w:val="zh-CN"/>
        </w:rPr>
        <w:t>平方米</w:t>
      </w:r>
      <w:r>
        <w:t>·</w:t>
      </w:r>
      <w:r>
        <w:rPr>
          <w:rFonts w:hint="eastAsia"/>
          <w:lang w:val="zh-CN"/>
        </w:rPr>
        <w:t>年</w:t>
      </w:r>
      <w:r>
        <w:rPr>
          <w:lang w:val="zh-CN"/>
        </w:rPr>
        <w:t>）；3、气密性必须满足N50≤0.6（注：即在室内外压差50</w:t>
      </w:r>
      <w:r>
        <w:rPr>
          <w:rFonts w:hint="eastAsia"/>
          <w:lang w:val="zh-CN"/>
        </w:rPr>
        <w:t>帕</w:t>
      </w:r>
      <w:r>
        <w:rPr>
          <w:lang w:val="zh-CN"/>
        </w:rPr>
        <w:t>的条件下，每小时的换气次数不得超过0.6次）；4、超温频率≤10%（注：超温频率定义为全年室内温度高于</w:t>
      </w:r>
      <w:r>
        <w:rPr>
          <w:rFonts w:hint="eastAsia"/>
          <w:lang w:val="zh-CN"/>
        </w:rPr>
        <w:t>25摄氏度</w:t>
      </w:r>
      <w:r>
        <w:rPr>
          <w:lang w:val="zh-CN"/>
        </w:rPr>
        <w:t>的小时数与全年时间的比值）。被动房认证中仅需要对建筑气密性进行实际测试，其他参数仅通过计算即可，因此被动房并不对建筑实际能源消耗进行要求。</w:t>
      </w:r>
    </w:p>
    <w:p w14:paraId="061298CF">
      <w:pPr>
        <w:rPr>
          <w:lang w:val="zh-CN"/>
        </w:rPr>
      </w:pPr>
      <w:r>
        <w:rPr>
          <w:lang w:val="zh-CN"/>
        </w:rPr>
        <w:t>PHI还对被建筑材料、建筑设备、认证工程师、设计单位、施工单位进行了认证。保证了被动房认证结果的可靠性和权威性。德国被动房标准体系作为被动超低能耗建筑标准体系中最为成熟的一员，在世界范围内受到极大的关注，很多国家都学习和参考德国被动房体系开展适用于本国特色的建筑标准体系的研发和推广。</w:t>
      </w:r>
    </w:p>
    <w:p w14:paraId="66B834AF">
      <w:pPr>
        <w:spacing w:line="360" w:lineRule="auto"/>
        <w:ind w:left="562" w:firstLine="482"/>
        <w:rPr>
          <w:rFonts w:ascii="Times New Roman" w:hAnsi="Times New Roman"/>
          <w:b/>
          <w:szCs w:val="28"/>
        </w:rPr>
      </w:pPr>
      <w:bookmarkStart w:id="107" w:name="_Toc14565"/>
      <w:r>
        <w:rPr>
          <w:rFonts w:hint="eastAsia" w:ascii="Times New Roman" w:hAnsi="Times New Roman"/>
          <w:b/>
          <w:szCs w:val="28"/>
        </w:rPr>
        <w:t>（二）丹麦</w:t>
      </w:r>
      <w:bookmarkEnd w:id="107"/>
    </w:p>
    <w:p w14:paraId="30B6B430">
      <w:pPr>
        <w:rPr>
          <w:lang w:val="zh-CN"/>
        </w:rPr>
      </w:pPr>
      <w:r>
        <w:rPr>
          <w:lang w:val="zh-CN"/>
        </w:rPr>
        <w:t>由于对全球变暖的担忧和对长期能源供应安全的渴求，上世纪90年代，丹麦政府提出“到2050年丹麦将成为化石能源零依赖的国家”。建筑节能被作为实现这一目标的核心手段，丹麦通过提出严格的建筑节能要求，加强对既有建筑改造，税收政策调控等政策措施，建筑能耗大幅下降。近年来丹麦政府通过不断提高建筑节能标准要求，推进超低能耗建筑的普及，开展建筑节能工作。由丹麦企业主导的主动房（Active</w:t>
      </w:r>
      <w:r>
        <w:t>H</w:t>
      </w:r>
      <w:r>
        <w:rPr>
          <w:lang w:val="zh-CN"/>
        </w:rPr>
        <w:t>ouse）自愿性超低能耗建筑技术标准在欧洲同样拥有重要的影响力。主动房建筑理念是威卢克斯集团提出了一种应对能源和气候挑战的前瞻性理念</w:t>
      </w:r>
      <w:r>
        <w:rPr>
          <w:rFonts w:hint="eastAsia"/>
          <w:lang w:val="zh-CN"/>
        </w:rPr>
        <w:t>，</w:t>
      </w:r>
      <w:r>
        <w:rPr>
          <w:lang w:val="zh-CN"/>
        </w:rPr>
        <w:t>该理念倡导建筑应该实现气候平衡、居住舒适、感官优美、具备充足的日光照明和新鲜的空气，即实现能耗效率与最佳室内气候之间的平衡，同时保证建筑以动态方式适应周围环境，实现碳中和。在这一理念指导下，建筑将自主生产能源，以可持续地利用资源，有效改善人们的健康水平和居住舒适度。</w:t>
      </w:r>
    </w:p>
    <w:p w14:paraId="20BE77C8">
      <w:pPr>
        <w:rPr>
          <w:lang w:val="zh-CN"/>
        </w:rPr>
      </w:pPr>
      <w:r>
        <w:rPr>
          <w:lang w:val="zh-CN"/>
        </w:rPr>
        <w:t>主动房与被动房相比，在强调降低建筑能量需求的前提下，更强调可再生能源在建筑中的应用。目前在全球范围内已建成和在建</w:t>
      </w:r>
      <w:r>
        <w:rPr>
          <w:rFonts w:hint="eastAsia"/>
          <w:lang w:val="zh-CN"/>
        </w:rPr>
        <w:t>的</w:t>
      </w:r>
      <w:r>
        <w:rPr>
          <w:lang w:val="zh-CN"/>
        </w:rPr>
        <w:t>主动房40余栋。并显现出快速增长的态势。另外，2000年丹麦也引入了被动房的理念，被动房的认证参考了德国被动房的标准和指标，认证由德国被动房研究所的合作单位</w:t>
      </w:r>
      <w:r>
        <w:rPr>
          <w:rFonts w:hint="eastAsia"/>
          <w:lang w:val="zh-CN"/>
        </w:rPr>
        <w:t>——</w:t>
      </w:r>
      <w:r>
        <w:rPr>
          <w:lang w:val="zh-CN"/>
        </w:rPr>
        <w:t>丹麦被动房研究所负责。</w:t>
      </w:r>
    </w:p>
    <w:p w14:paraId="110639DD">
      <w:pPr>
        <w:spacing w:line="360" w:lineRule="auto"/>
        <w:ind w:left="562" w:firstLine="482"/>
        <w:rPr>
          <w:rFonts w:ascii="Times New Roman" w:hAnsi="Times New Roman"/>
          <w:b/>
          <w:szCs w:val="28"/>
        </w:rPr>
      </w:pPr>
      <w:bookmarkStart w:id="108" w:name="_Toc2544"/>
      <w:r>
        <w:rPr>
          <w:rFonts w:hint="eastAsia" w:ascii="Times New Roman" w:hAnsi="Times New Roman"/>
          <w:b/>
          <w:szCs w:val="28"/>
        </w:rPr>
        <w:t>（三）瑞典</w:t>
      </w:r>
      <w:bookmarkEnd w:id="108"/>
    </w:p>
    <w:p w14:paraId="153029F5">
      <w:pPr>
        <w:jc w:val="left"/>
        <w:rPr>
          <w:lang w:val="zh-CN"/>
        </w:rPr>
      </w:pPr>
      <w:r>
        <w:rPr>
          <w:lang w:val="zh-CN"/>
        </w:rPr>
        <w:t>瑞典政府通过支持研究机构推广超低能耗建筑。Minergie是由瑞典政府支持的一系列超低能耗建筑技术标准。1994年Minergie的理念被提出，同年两栋示范建筑完成。1997年Minergie理念获得瑞典政府的认可。2001年参照德国被动房技术体系的Minergie-P标准发布。截止到2009年，约有15000栋建筑获得了Minergie认证。Minergie标准体系由Minergie、Minergie-p、Minergie-A和Minergie-ECO等组成。其中Minergie-p标准是在德国被动房技术标准上进行了适当的调整以适合瑞典的气候条件和国情的被动式超低能耗建筑标准，Minergie-P相比于德国被动房标准，对不同类型建筑的供暖能量需求分别做了详细规定，并对增量成本及热舒适做了规定。</w:t>
      </w:r>
    </w:p>
    <w:p w14:paraId="21E860A4">
      <w:pPr>
        <w:jc w:val="left"/>
        <w:rPr>
          <w:lang w:val="zh-CN"/>
        </w:rPr>
        <w:sectPr>
          <w:headerReference r:id="rId20" w:type="first"/>
          <w:footerReference r:id="rId23" w:type="first"/>
          <w:headerReference r:id="rId18" w:type="default"/>
          <w:footerReference r:id="rId21" w:type="default"/>
          <w:headerReference r:id="rId19" w:type="even"/>
          <w:footerReference r:id="rId22" w:type="even"/>
          <w:pgSz w:w="11906" w:h="16838"/>
          <w:pgMar w:top="1440" w:right="1800" w:bottom="1440" w:left="1800" w:header="851" w:footer="992" w:gutter="0"/>
          <w:cols w:space="425" w:num="1"/>
          <w:docGrid w:type="lines" w:linePitch="312" w:charSpace="0"/>
        </w:sectPr>
      </w:pPr>
      <w:r>
        <w:rPr>
          <w:lang w:val="zh-CN"/>
        </w:rPr>
        <w:t>瑞典于2012年9月27日颁布了《瑞典零能耗与被动屋低能耗住宅规范》，这是目前为止世界上第一部也是唯一的被动房屋的规范。该规范中提出的主要指标如</w:t>
      </w:r>
      <w:r>
        <w:rPr>
          <w:rFonts w:hint="eastAsia"/>
          <w:lang w:val="zh-CN"/>
        </w:rPr>
        <w:t>下</w:t>
      </w:r>
      <w:r>
        <w:rPr>
          <w:lang w:val="zh-CN"/>
        </w:rPr>
        <w:t>所示。</w:t>
      </w:r>
    </w:p>
    <w:p w14:paraId="48BA0DBB">
      <w:pPr>
        <w:spacing w:before="163" w:after="163"/>
        <w:rPr>
          <w:lang w:val="zh-CN"/>
        </w:rPr>
      </w:pPr>
      <w:r>
        <w:rPr>
          <w:rFonts w:hint="eastAsia"/>
          <w:lang w:val="zh-CN"/>
        </w:rPr>
        <w:t>表</w:t>
      </w:r>
      <w:r>
        <w:rPr>
          <w:lang w:val="zh-CN"/>
        </w:rPr>
        <w:t>8</w:t>
      </w:r>
      <w:r>
        <w:rPr>
          <w:rFonts w:hint="eastAsia"/>
          <w:lang w:val="zh-CN"/>
        </w:rPr>
        <w:t>-</w:t>
      </w:r>
      <w:r>
        <w:rPr>
          <w:lang w:val="zh-CN"/>
        </w:rPr>
        <w:t>10 瑞典被动房屋指标</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4833"/>
        <w:gridCol w:w="1874"/>
        <w:gridCol w:w="4828"/>
      </w:tblGrid>
      <w:tr w14:paraId="2672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trPr>
        <w:tc>
          <w:tcPr>
            <w:tcW w:w="931" w:type="pct"/>
            <w:vAlign w:val="center"/>
          </w:tcPr>
          <w:p w14:paraId="22479320">
            <w:pPr>
              <w:pStyle w:val="40"/>
            </w:pPr>
            <w:r>
              <w:t>类别</w:t>
            </w:r>
          </w:p>
        </w:tc>
        <w:tc>
          <w:tcPr>
            <w:tcW w:w="1705" w:type="pct"/>
            <w:vAlign w:val="center"/>
          </w:tcPr>
          <w:p w14:paraId="25105D61">
            <w:pPr>
              <w:pStyle w:val="40"/>
            </w:pPr>
            <w:r>
              <w:t>指标名称</w:t>
            </w:r>
          </w:p>
        </w:tc>
        <w:tc>
          <w:tcPr>
            <w:tcW w:w="2364" w:type="pct"/>
            <w:gridSpan w:val="2"/>
            <w:vAlign w:val="center"/>
          </w:tcPr>
          <w:p w14:paraId="0614ACD3">
            <w:pPr>
              <w:pStyle w:val="40"/>
            </w:pPr>
            <w:r>
              <w:t>指标要求</w:t>
            </w:r>
          </w:p>
        </w:tc>
      </w:tr>
      <w:tr w14:paraId="359C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1" w:type="pct"/>
            <w:vAlign w:val="center"/>
          </w:tcPr>
          <w:p w14:paraId="42233664">
            <w:pPr>
              <w:pStyle w:val="40"/>
            </w:pPr>
            <w:r>
              <w:t>气密性</w:t>
            </w:r>
          </w:p>
        </w:tc>
        <w:tc>
          <w:tcPr>
            <w:tcW w:w="1705" w:type="pct"/>
            <w:vAlign w:val="center"/>
          </w:tcPr>
          <w:p w14:paraId="53AEC7F1">
            <w:pPr>
              <w:pStyle w:val="40"/>
            </w:pPr>
            <w:r>
              <w:t>N</w:t>
            </w:r>
            <w:r>
              <w:rPr>
                <w:vertAlign w:val="subscript"/>
              </w:rPr>
              <w:t>50</w:t>
            </w:r>
          </w:p>
        </w:tc>
        <w:tc>
          <w:tcPr>
            <w:tcW w:w="2364" w:type="pct"/>
            <w:gridSpan w:val="2"/>
            <w:vAlign w:val="center"/>
          </w:tcPr>
          <w:p w14:paraId="4534D517">
            <w:pPr>
              <w:pStyle w:val="40"/>
            </w:pPr>
            <w:r>
              <w:t>=0.3</w:t>
            </w:r>
          </w:p>
        </w:tc>
      </w:tr>
      <w:tr w14:paraId="5E8A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1" w:type="pct"/>
            <w:vMerge w:val="restart"/>
            <w:vAlign w:val="center"/>
          </w:tcPr>
          <w:p w14:paraId="60236D3A">
            <w:pPr>
              <w:pStyle w:val="40"/>
            </w:pPr>
            <w:r>
              <w:t>采暖和生活热水用能</w:t>
            </w:r>
          </w:p>
        </w:tc>
        <w:tc>
          <w:tcPr>
            <w:tcW w:w="1705" w:type="pct"/>
            <w:vMerge w:val="restart"/>
            <w:vAlign w:val="center"/>
          </w:tcPr>
          <w:p w14:paraId="2D12999D">
            <w:pPr>
              <w:pStyle w:val="40"/>
            </w:pPr>
            <w:r>
              <w:t>输送至建筑物的采暖和生活热水能量</w:t>
            </w:r>
          </w:p>
        </w:tc>
        <w:tc>
          <w:tcPr>
            <w:tcW w:w="661" w:type="pct"/>
            <w:vMerge w:val="restart"/>
            <w:vAlign w:val="center"/>
          </w:tcPr>
          <w:p w14:paraId="46321A01">
            <w:pPr>
              <w:pStyle w:val="40"/>
            </w:pPr>
            <w:r>
              <w:t>气候区1</w:t>
            </w:r>
          </w:p>
        </w:tc>
        <w:tc>
          <w:tcPr>
            <w:tcW w:w="1703" w:type="pct"/>
            <w:vAlign w:val="center"/>
          </w:tcPr>
          <w:p w14:paraId="23EF07D1">
            <w:pPr>
              <w:pStyle w:val="40"/>
            </w:pPr>
            <w:r>
              <w:t>≤58</w:t>
            </w:r>
            <w:r>
              <w:rPr>
                <w:rFonts w:hint="eastAsia"/>
              </w:rPr>
              <w:t>千瓦时</w:t>
            </w:r>
            <w:r>
              <w:t>（</w:t>
            </w:r>
            <w:r>
              <w:rPr>
                <w:rFonts w:hint="eastAsia"/>
                <w:lang w:val="zh-CN"/>
              </w:rPr>
              <w:t>平方米</w:t>
            </w:r>
            <w:r>
              <w:t>·</w:t>
            </w:r>
            <w:r>
              <w:rPr>
                <w:rFonts w:hint="eastAsia"/>
              </w:rPr>
              <w:t>年</w:t>
            </w:r>
            <w:r>
              <w:t>）最大非电加热</w:t>
            </w:r>
          </w:p>
        </w:tc>
      </w:tr>
      <w:tr w14:paraId="4E3F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1" w:type="pct"/>
            <w:vMerge w:val="continue"/>
            <w:vAlign w:val="center"/>
          </w:tcPr>
          <w:p w14:paraId="327F245F">
            <w:pPr>
              <w:pStyle w:val="40"/>
            </w:pPr>
          </w:p>
        </w:tc>
        <w:tc>
          <w:tcPr>
            <w:tcW w:w="1705" w:type="pct"/>
            <w:vMerge w:val="continue"/>
            <w:vAlign w:val="center"/>
          </w:tcPr>
          <w:p w14:paraId="17E3331E">
            <w:pPr>
              <w:pStyle w:val="40"/>
            </w:pPr>
          </w:p>
        </w:tc>
        <w:tc>
          <w:tcPr>
            <w:tcW w:w="661" w:type="pct"/>
            <w:vMerge w:val="continue"/>
            <w:vAlign w:val="center"/>
          </w:tcPr>
          <w:p w14:paraId="0077F05B">
            <w:pPr>
              <w:pStyle w:val="40"/>
            </w:pPr>
          </w:p>
        </w:tc>
        <w:tc>
          <w:tcPr>
            <w:tcW w:w="1703" w:type="pct"/>
            <w:vAlign w:val="center"/>
          </w:tcPr>
          <w:p w14:paraId="26E29C3B">
            <w:pPr>
              <w:pStyle w:val="40"/>
            </w:pPr>
            <w:r>
              <w:t>≤29</w:t>
            </w:r>
            <w:r>
              <w:rPr>
                <w:rFonts w:hint="eastAsia"/>
              </w:rPr>
              <w:t>千瓦时</w:t>
            </w:r>
            <w:r>
              <w:t>（</w:t>
            </w:r>
            <w:r>
              <w:rPr>
                <w:rFonts w:hint="eastAsia"/>
                <w:lang w:val="zh-CN"/>
              </w:rPr>
              <w:t>平方米</w:t>
            </w:r>
            <w:r>
              <w:t>·</w:t>
            </w:r>
            <w:r>
              <w:rPr>
                <w:rFonts w:hint="eastAsia"/>
              </w:rPr>
              <w:t>年</w:t>
            </w:r>
            <w:r>
              <w:t>）最大电加热</w:t>
            </w:r>
          </w:p>
        </w:tc>
      </w:tr>
      <w:tr w14:paraId="071F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1" w:type="pct"/>
            <w:vMerge w:val="continue"/>
            <w:vAlign w:val="center"/>
          </w:tcPr>
          <w:p w14:paraId="133A9F7B">
            <w:pPr>
              <w:pStyle w:val="40"/>
            </w:pPr>
          </w:p>
        </w:tc>
        <w:tc>
          <w:tcPr>
            <w:tcW w:w="1705" w:type="pct"/>
            <w:vMerge w:val="continue"/>
            <w:vAlign w:val="center"/>
          </w:tcPr>
          <w:p w14:paraId="79532C52">
            <w:pPr>
              <w:pStyle w:val="40"/>
            </w:pPr>
          </w:p>
        </w:tc>
        <w:tc>
          <w:tcPr>
            <w:tcW w:w="661" w:type="pct"/>
            <w:vMerge w:val="restart"/>
            <w:vAlign w:val="center"/>
          </w:tcPr>
          <w:p w14:paraId="10669C27">
            <w:pPr>
              <w:pStyle w:val="40"/>
            </w:pPr>
            <w:r>
              <w:t>气候区2</w:t>
            </w:r>
          </w:p>
        </w:tc>
        <w:tc>
          <w:tcPr>
            <w:tcW w:w="1703" w:type="pct"/>
            <w:vAlign w:val="center"/>
          </w:tcPr>
          <w:p w14:paraId="4B4EEE8C">
            <w:pPr>
              <w:pStyle w:val="40"/>
            </w:pPr>
            <w:r>
              <w:t>≤54</w:t>
            </w:r>
            <w:r>
              <w:rPr>
                <w:rFonts w:hint="eastAsia"/>
              </w:rPr>
              <w:t>千瓦时</w:t>
            </w:r>
            <w:r>
              <w:t>（</w:t>
            </w:r>
            <w:r>
              <w:rPr>
                <w:rFonts w:hint="eastAsia"/>
                <w:lang w:val="zh-CN"/>
              </w:rPr>
              <w:t>平方米</w:t>
            </w:r>
            <w:r>
              <w:t>·</w:t>
            </w:r>
            <w:r>
              <w:rPr>
                <w:rFonts w:hint="eastAsia"/>
              </w:rPr>
              <w:t>年</w:t>
            </w:r>
            <w:r>
              <w:t>）最大非电加热</w:t>
            </w:r>
          </w:p>
        </w:tc>
      </w:tr>
      <w:tr w14:paraId="1118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31" w:type="pct"/>
            <w:vMerge w:val="continue"/>
            <w:vAlign w:val="center"/>
          </w:tcPr>
          <w:p w14:paraId="3C944266">
            <w:pPr>
              <w:pStyle w:val="40"/>
            </w:pPr>
          </w:p>
        </w:tc>
        <w:tc>
          <w:tcPr>
            <w:tcW w:w="1705" w:type="pct"/>
            <w:vMerge w:val="continue"/>
            <w:vAlign w:val="center"/>
          </w:tcPr>
          <w:p w14:paraId="59957F35">
            <w:pPr>
              <w:pStyle w:val="40"/>
            </w:pPr>
          </w:p>
        </w:tc>
        <w:tc>
          <w:tcPr>
            <w:tcW w:w="661" w:type="pct"/>
            <w:vMerge w:val="continue"/>
            <w:vAlign w:val="center"/>
          </w:tcPr>
          <w:p w14:paraId="33C2AF36">
            <w:pPr>
              <w:pStyle w:val="40"/>
            </w:pPr>
          </w:p>
        </w:tc>
        <w:tc>
          <w:tcPr>
            <w:tcW w:w="1703" w:type="pct"/>
            <w:vAlign w:val="center"/>
          </w:tcPr>
          <w:p w14:paraId="4B812F54">
            <w:pPr>
              <w:pStyle w:val="40"/>
            </w:pPr>
            <w:r>
              <w:t>≤27</w:t>
            </w:r>
            <w:r>
              <w:rPr>
                <w:rFonts w:hint="eastAsia"/>
              </w:rPr>
              <w:t>千瓦时</w:t>
            </w:r>
            <w:r>
              <w:t>（</w:t>
            </w:r>
            <w:r>
              <w:rPr>
                <w:rFonts w:hint="eastAsia"/>
                <w:lang w:val="zh-CN"/>
              </w:rPr>
              <w:t>平方米</w:t>
            </w:r>
            <w:r>
              <w:t>·</w:t>
            </w:r>
            <w:r>
              <w:rPr>
                <w:rFonts w:hint="eastAsia"/>
              </w:rPr>
              <w:t>年</w:t>
            </w:r>
            <w:r>
              <w:t>）最大电加热</w:t>
            </w:r>
          </w:p>
        </w:tc>
      </w:tr>
      <w:tr w14:paraId="012E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1" w:type="pct"/>
            <w:vMerge w:val="continue"/>
            <w:vAlign w:val="center"/>
          </w:tcPr>
          <w:p w14:paraId="43004E80">
            <w:pPr>
              <w:pStyle w:val="40"/>
            </w:pPr>
          </w:p>
        </w:tc>
        <w:tc>
          <w:tcPr>
            <w:tcW w:w="1705" w:type="pct"/>
            <w:vMerge w:val="continue"/>
            <w:vAlign w:val="center"/>
          </w:tcPr>
          <w:p w14:paraId="2475BB34">
            <w:pPr>
              <w:pStyle w:val="40"/>
            </w:pPr>
          </w:p>
        </w:tc>
        <w:tc>
          <w:tcPr>
            <w:tcW w:w="661" w:type="pct"/>
            <w:vMerge w:val="restart"/>
            <w:vAlign w:val="center"/>
          </w:tcPr>
          <w:p w14:paraId="22830595">
            <w:pPr>
              <w:pStyle w:val="40"/>
            </w:pPr>
            <w:r>
              <w:t>气候区3</w:t>
            </w:r>
          </w:p>
        </w:tc>
        <w:tc>
          <w:tcPr>
            <w:tcW w:w="1703" w:type="pct"/>
            <w:vAlign w:val="center"/>
          </w:tcPr>
          <w:p w14:paraId="1E7AD8BE">
            <w:pPr>
              <w:pStyle w:val="40"/>
            </w:pPr>
            <w:r>
              <w:t>≤50</w:t>
            </w:r>
            <w:r>
              <w:rPr>
                <w:rFonts w:hint="eastAsia"/>
              </w:rPr>
              <w:t>千瓦时</w:t>
            </w:r>
            <w:r>
              <w:t>（</w:t>
            </w:r>
            <w:r>
              <w:rPr>
                <w:rFonts w:hint="eastAsia"/>
                <w:lang w:val="zh-CN"/>
              </w:rPr>
              <w:t>平方米</w:t>
            </w:r>
            <w:r>
              <w:t>·</w:t>
            </w:r>
            <w:r>
              <w:rPr>
                <w:rFonts w:hint="eastAsia"/>
              </w:rPr>
              <w:t>年</w:t>
            </w:r>
            <w:r>
              <w:t>）最大非电加热</w:t>
            </w:r>
          </w:p>
        </w:tc>
      </w:tr>
      <w:tr w14:paraId="7473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1" w:type="pct"/>
            <w:vMerge w:val="continue"/>
            <w:vAlign w:val="center"/>
          </w:tcPr>
          <w:p w14:paraId="66D53516">
            <w:pPr>
              <w:pStyle w:val="40"/>
            </w:pPr>
          </w:p>
        </w:tc>
        <w:tc>
          <w:tcPr>
            <w:tcW w:w="1705" w:type="pct"/>
            <w:vMerge w:val="continue"/>
            <w:vAlign w:val="center"/>
          </w:tcPr>
          <w:p w14:paraId="74DFEEF0">
            <w:pPr>
              <w:pStyle w:val="40"/>
            </w:pPr>
          </w:p>
        </w:tc>
        <w:tc>
          <w:tcPr>
            <w:tcW w:w="661" w:type="pct"/>
            <w:vMerge w:val="continue"/>
            <w:vAlign w:val="center"/>
          </w:tcPr>
          <w:p w14:paraId="64A32EFA">
            <w:pPr>
              <w:pStyle w:val="40"/>
            </w:pPr>
          </w:p>
        </w:tc>
        <w:tc>
          <w:tcPr>
            <w:tcW w:w="1703" w:type="pct"/>
            <w:vAlign w:val="center"/>
          </w:tcPr>
          <w:p w14:paraId="049D30CC">
            <w:pPr>
              <w:pStyle w:val="40"/>
            </w:pPr>
            <w:r>
              <w:t>≤25</w:t>
            </w:r>
            <w:r>
              <w:rPr>
                <w:rFonts w:hint="eastAsia"/>
              </w:rPr>
              <w:t>千瓦时</w:t>
            </w:r>
            <w:r>
              <w:t>（</w:t>
            </w:r>
            <w:r>
              <w:rPr>
                <w:rFonts w:hint="eastAsia"/>
                <w:lang w:val="zh-CN"/>
              </w:rPr>
              <w:t>平方米</w:t>
            </w:r>
            <w:r>
              <w:t>·</w:t>
            </w:r>
            <w:r>
              <w:rPr>
                <w:rFonts w:hint="eastAsia"/>
              </w:rPr>
              <w:t>年</w:t>
            </w:r>
            <w:r>
              <w:t>）最大电加热</w:t>
            </w:r>
          </w:p>
        </w:tc>
      </w:tr>
      <w:tr w14:paraId="7BCA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1" w:type="pct"/>
            <w:vMerge w:val="restart"/>
            <w:vAlign w:val="center"/>
          </w:tcPr>
          <w:p w14:paraId="09FB58B4">
            <w:pPr>
              <w:pStyle w:val="40"/>
            </w:pPr>
            <w:r>
              <w:t>采暖负荷</w:t>
            </w:r>
          </w:p>
        </w:tc>
        <w:tc>
          <w:tcPr>
            <w:tcW w:w="1705" w:type="pct"/>
            <w:vMerge w:val="restart"/>
            <w:vAlign w:val="center"/>
          </w:tcPr>
          <w:p w14:paraId="14A5CA05">
            <w:pPr>
              <w:pStyle w:val="40"/>
            </w:pPr>
            <w:r>
              <w:t>楼宇采暖负荷</w:t>
            </w:r>
          </w:p>
        </w:tc>
        <w:tc>
          <w:tcPr>
            <w:tcW w:w="661" w:type="pct"/>
            <w:vAlign w:val="center"/>
          </w:tcPr>
          <w:p w14:paraId="23091472">
            <w:pPr>
              <w:pStyle w:val="40"/>
            </w:pPr>
            <w:r>
              <w:t>气候区1</w:t>
            </w:r>
          </w:p>
        </w:tc>
        <w:tc>
          <w:tcPr>
            <w:tcW w:w="1703" w:type="pct"/>
            <w:vAlign w:val="center"/>
          </w:tcPr>
          <w:p w14:paraId="41E39207">
            <w:pPr>
              <w:pStyle w:val="40"/>
            </w:pPr>
            <w:r>
              <w:t>≤17</w:t>
            </w:r>
            <w:r>
              <w:rPr>
                <w:rFonts w:hint="eastAsia"/>
              </w:rPr>
              <w:t>瓦/平方米</w:t>
            </w:r>
          </w:p>
        </w:tc>
      </w:tr>
      <w:tr w14:paraId="0AAE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1" w:type="pct"/>
            <w:vMerge w:val="continue"/>
            <w:vAlign w:val="center"/>
          </w:tcPr>
          <w:p w14:paraId="59AB8EA0">
            <w:pPr>
              <w:pStyle w:val="40"/>
            </w:pPr>
          </w:p>
        </w:tc>
        <w:tc>
          <w:tcPr>
            <w:tcW w:w="1705" w:type="pct"/>
            <w:vMerge w:val="continue"/>
            <w:vAlign w:val="center"/>
          </w:tcPr>
          <w:p w14:paraId="5E402E33">
            <w:pPr>
              <w:pStyle w:val="40"/>
            </w:pPr>
          </w:p>
        </w:tc>
        <w:tc>
          <w:tcPr>
            <w:tcW w:w="661" w:type="pct"/>
            <w:vAlign w:val="center"/>
          </w:tcPr>
          <w:p w14:paraId="5913EC10">
            <w:pPr>
              <w:pStyle w:val="40"/>
            </w:pPr>
            <w:r>
              <w:t>气候区2</w:t>
            </w:r>
          </w:p>
        </w:tc>
        <w:tc>
          <w:tcPr>
            <w:tcW w:w="1703" w:type="pct"/>
            <w:vAlign w:val="center"/>
          </w:tcPr>
          <w:p w14:paraId="76BD5A70">
            <w:pPr>
              <w:pStyle w:val="40"/>
            </w:pPr>
            <w:r>
              <w:t>≤16</w:t>
            </w:r>
            <w:r>
              <w:rPr>
                <w:rFonts w:hint="eastAsia"/>
              </w:rPr>
              <w:t>瓦/平方米</w:t>
            </w:r>
          </w:p>
        </w:tc>
      </w:tr>
      <w:tr w14:paraId="0A5C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1" w:type="pct"/>
            <w:vMerge w:val="continue"/>
            <w:vAlign w:val="center"/>
          </w:tcPr>
          <w:p w14:paraId="16365F32">
            <w:pPr>
              <w:pStyle w:val="40"/>
            </w:pPr>
          </w:p>
        </w:tc>
        <w:tc>
          <w:tcPr>
            <w:tcW w:w="1705" w:type="pct"/>
            <w:vMerge w:val="continue"/>
            <w:vAlign w:val="center"/>
          </w:tcPr>
          <w:p w14:paraId="5D0F31A7">
            <w:pPr>
              <w:pStyle w:val="40"/>
            </w:pPr>
          </w:p>
        </w:tc>
        <w:tc>
          <w:tcPr>
            <w:tcW w:w="661" w:type="pct"/>
            <w:vAlign w:val="center"/>
          </w:tcPr>
          <w:p w14:paraId="06D910CC">
            <w:pPr>
              <w:pStyle w:val="40"/>
            </w:pPr>
            <w:r>
              <w:t>气候区3</w:t>
            </w:r>
          </w:p>
        </w:tc>
        <w:tc>
          <w:tcPr>
            <w:tcW w:w="1703" w:type="pct"/>
            <w:vAlign w:val="center"/>
          </w:tcPr>
          <w:p w14:paraId="70E9566F">
            <w:pPr>
              <w:pStyle w:val="40"/>
            </w:pPr>
            <w:r>
              <w:t>≤15</w:t>
            </w:r>
            <w:r>
              <w:rPr>
                <w:rFonts w:hint="eastAsia"/>
              </w:rPr>
              <w:t>瓦/平方米</w:t>
            </w:r>
          </w:p>
        </w:tc>
      </w:tr>
      <w:tr w14:paraId="1EF5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1" w:type="pct"/>
            <w:vMerge w:val="restart"/>
            <w:vAlign w:val="center"/>
          </w:tcPr>
          <w:p w14:paraId="77D8144A">
            <w:pPr>
              <w:pStyle w:val="40"/>
            </w:pPr>
            <w:r>
              <w:t>室内舒适度指标</w:t>
            </w:r>
          </w:p>
        </w:tc>
        <w:tc>
          <w:tcPr>
            <w:tcW w:w="1705" w:type="pct"/>
            <w:vAlign w:val="center"/>
          </w:tcPr>
          <w:p w14:paraId="61086359">
            <w:pPr>
              <w:pStyle w:val="40"/>
            </w:pPr>
            <w:r>
              <w:t>采暖室内温度</w:t>
            </w:r>
          </w:p>
        </w:tc>
        <w:tc>
          <w:tcPr>
            <w:tcW w:w="661" w:type="pct"/>
            <w:vAlign w:val="center"/>
          </w:tcPr>
          <w:p w14:paraId="4532EF07">
            <w:pPr>
              <w:pStyle w:val="40"/>
            </w:pPr>
          </w:p>
        </w:tc>
        <w:tc>
          <w:tcPr>
            <w:tcW w:w="1703" w:type="pct"/>
            <w:vAlign w:val="center"/>
          </w:tcPr>
          <w:p w14:paraId="50186BE0">
            <w:pPr>
              <w:pStyle w:val="40"/>
            </w:pPr>
            <w:r>
              <w:t>20-26</w:t>
            </w:r>
            <w:r>
              <w:rPr>
                <w:rFonts w:hint="eastAsia"/>
              </w:rPr>
              <w:t>摄氏度</w:t>
            </w:r>
          </w:p>
        </w:tc>
      </w:tr>
      <w:tr w14:paraId="7CE9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1" w:type="pct"/>
            <w:vMerge w:val="continue"/>
            <w:vAlign w:val="center"/>
          </w:tcPr>
          <w:p w14:paraId="13B0328C">
            <w:pPr>
              <w:pStyle w:val="40"/>
            </w:pPr>
          </w:p>
        </w:tc>
        <w:tc>
          <w:tcPr>
            <w:tcW w:w="1705" w:type="pct"/>
            <w:vAlign w:val="center"/>
          </w:tcPr>
          <w:p w14:paraId="55A94D19">
            <w:pPr>
              <w:pStyle w:val="40"/>
            </w:pPr>
            <w:r>
              <w:t>噪音</w:t>
            </w:r>
          </w:p>
        </w:tc>
        <w:tc>
          <w:tcPr>
            <w:tcW w:w="661" w:type="pct"/>
            <w:vAlign w:val="center"/>
          </w:tcPr>
          <w:p w14:paraId="3F088555">
            <w:pPr>
              <w:pStyle w:val="40"/>
            </w:pPr>
          </w:p>
        </w:tc>
        <w:tc>
          <w:tcPr>
            <w:tcW w:w="1703" w:type="pct"/>
            <w:vAlign w:val="center"/>
          </w:tcPr>
          <w:p w14:paraId="4C68A0F0">
            <w:pPr>
              <w:pStyle w:val="40"/>
            </w:pPr>
            <w:r>
              <w:t>B类</w:t>
            </w:r>
          </w:p>
        </w:tc>
      </w:tr>
      <w:tr w14:paraId="7FD0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1" w:type="pct"/>
            <w:vMerge w:val="continue"/>
            <w:vAlign w:val="center"/>
          </w:tcPr>
          <w:p w14:paraId="5162DC1E">
            <w:pPr>
              <w:pStyle w:val="40"/>
            </w:pPr>
          </w:p>
        </w:tc>
        <w:tc>
          <w:tcPr>
            <w:tcW w:w="1705" w:type="pct"/>
            <w:vAlign w:val="center"/>
          </w:tcPr>
          <w:p w14:paraId="5DFA7722">
            <w:pPr>
              <w:pStyle w:val="40"/>
            </w:pPr>
            <w:r>
              <w:t>超温频率</w:t>
            </w:r>
          </w:p>
        </w:tc>
        <w:tc>
          <w:tcPr>
            <w:tcW w:w="661" w:type="pct"/>
            <w:vAlign w:val="center"/>
          </w:tcPr>
          <w:p w14:paraId="54E4EF03">
            <w:pPr>
              <w:pStyle w:val="40"/>
            </w:pPr>
          </w:p>
        </w:tc>
        <w:tc>
          <w:tcPr>
            <w:tcW w:w="1703" w:type="pct"/>
            <w:vAlign w:val="center"/>
          </w:tcPr>
          <w:p w14:paraId="45719097">
            <w:pPr>
              <w:pStyle w:val="40"/>
            </w:pPr>
            <w:r>
              <w:t>10%</w:t>
            </w:r>
          </w:p>
        </w:tc>
      </w:tr>
    </w:tbl>
    <w:p w14:paraId="6B91968B">
      <w:pPr>
        <w:spacing w:line="360" w:lineRule="auto"/>
        <w:ind w:left="562" w:firstLine="562"/>
        <w:rPr>
          <w:rFonts w:ascii="Times New Roman" w:hAnsi="Times New Roman"/>
          <w:b/>
          <w:bCs/>
          <w:sz w:val="28"/>
          <w:szCs w:val="28"/>
          <w:lang w:val="zh-CN"/>
        </w:rPr>
        <w:sectPr>
          <w:pgSz w:w="16838" w:h="11906" w:orient="landscape"/>
          <w:pgMar w:top="1800" w:right="1440" w:bottom="1800" w:left="1440" w:header="851" w:footer="992" w:gutter="0"/>
          <w:cols w:space="425" w:num="1"/>
          <w:docGrid w:type="lines" w:linePitch="326" w:charSpace="0"/>
        </w:sectPr>
      </w:pPr>
    </w:p>
    <w:p w14:paraId="35F09035">
      <w:pPr>
        <w:spacing w:line="360" w:lineRule="auto"/>
        <w:ind w:left="562" w:firstLine="482"/>
        <w:rPr>
          <w:rFonts w:ascii="Times New Roman" w:hAnsi="Times New Roman"/>
          <w:b/>
          <w:bCs/>
          <w:sz w:val="28"/>
          <w:szCs w:val="28"/>
          <w:lang w:val="zh-CN"/>
        </w:rPr>
      </w:pPr>
      <w:r>
        <w:rPr>
          <w:rFonts w:hint="eastAsia" w:ascii="Times New Roman" w:hAnsi="Times New Roman"/>
          <w:b/>
          <w:szCs w:val="28"/>
        </w:rPr>
        <w:t>（四）美国</w:t>
      </w:r>
    </w:p>
    <w:p w14:paraId="654242FA">
      <w:pPr>
        <w:rPr>
          <w:lang w:val="zh-CN"/>
        </w:rPr>
      </w:pPr>
      <w:r>
        <w:rPr>
          <w:lang w:val="zh-CN"/>
        </w:rPr>
        <w:t>美国能源部建筑技术项目在《建筑技术项目2008-2012规划》中提出，建筑节能发展的战略目标是使“零能耗住宅”（</w:t>
      </w:r>
      <w:r>
        <w:t>Z</w:t>
      </w:r>
      <w:r>
        <w:rPr>
          <w:lang w:val="zh-CN"/>
        </w:rPr>
        <w:t>ero</w:t>
      </w:r>
      <w:r>
        <w:t>E</w:t>
      </w:r>
      <w:r>
        <w:rPr>
          <w:lang w:val="zh-CN"/>
        </w:rPr>
        <w:t>nergyhome）在2020年达到市场可行，使“零能耗住宅”（</w:t>
      </w:r>
      <w:r>
        <w:t>Z</w:t>
      </w:r>
      <w:r>
        <w:rPr>
          <w:lang w:val="zh-CN"/>
        </w:rPr>
        <w:t>ero</w:t>
      </w:r>
      <w:r>
        <w:t>E</w:t>
      </w:r>
      <w:r>
        <w:rPr>
          <w:lang w:val="zh-CN"/>
        </w:rPr>
        <w:t>nergyhome）在2025年可商业化。“零能耗住宅”指通过与可再生能源发电发热系统连接，建筑物每年产生的能量与消耗的能量达到平衡的低层居住建筑。“零能耗建筑”既包括“零能耗住宅”，又包括中高层居住建筑和公共建筑</w:t>
      </w:r>
      <w:r>
        <w:rPr>
          <w:rFonts w:hint="eastAsia"/>
          <w:lang w:val="zh-CN"/>
        </w:rPr>
        <w:t>。</w:t>
      </w:r>
      <w:r>
        <w:rPr>
          <w:lang w:val="zh-CN"/>
        </w:rPr>
        <w:t>其技术路线为使用更加高效的建筑围护结构、建筑能源系统和家用电器，使建筑物的全年能耗降低为目前的30%左右，</w:t>
      </w:r>
      <w:r>
        <w:rPr>
          <w:rFonts w:hint="eastAsia"/>
          <w:lang w:val="zh-CN"/>
        </w:rPr>
        <w:t>再</w:t>
      </w:r>
      <w:r>
        <w:rPr>
          <w:lang w:val="zh-CN"/>
        </w:rPr>
        <w:t>由可再生能源对其供能。</w:t>
      </w:r>
    </w:p>
    <w:p w14:paraId="63D13246">
      <w:pPr>
        <w:rPr>
          <w:lang w:val="zh-CN"/>
        </w:rPr>
      </w:pPr>
      <w:r>
        <w:rPr>
          <w:lang w:val="zh-CN"/>
        </w:rPr>
        <w:t>2007年12月，美国通过《能源安全与独立法案》（EnergySecurityandIndependenceAct，ESIA）提出“净零能耗公共建筑”（</w:t>
      </w:r>
      <w:r>
        <w:t>Z</w:t>
      </w:r>
      <w:r>
        <w:rPr>
          <w:lang w:val="zh-CN"/>
        </w:rPr>
        <w:t>ero-net-energy</w:t>
      </w:r>
      <w:r>
        <w:t>C</w:t>
      </w:r>
      <w:r>
        <w:rPr>
          <w:lang w:val="zh-CN"/>
        </w:rPr>
        <w:t>ommercial</w:t>
      </w:r>
      <w:r>
        <w:t>B</w:t>
      </w:r>
      <w:r>
        <w:rPr>
          <w:lang w:val="zh-CN"/>
        </w:rPr>
        <w:t>uilding），在ESIA第422节</w:t>
      </w:r>
      <w:r>
        <w:t>（a）（3）</w:t>
      </w:r>
      <w:r>
        <w:rPr>
          <w:lang w:val="zh-CN"/>
        </w:rPr>
        <w:t>中其定义为：良好设计、建造和运行的高性能公共建筑，可以最大限度的降低能源需求，使用不产生温室气体的能源供能即可达到能量供需平衡，</w:t>
      </w:r>
      <w:r>
        <w:rPr>
          <w:rFonts w:hint="eastAsia"/>
          <w:lang w:val="zh-CN"/>
        </w:rPr>
        <w:t>且</w:t>
      </w:r>
      <w:r>
        <w:rPr>
          <w:lang w:val="zh-CN"/>
        </w:rPr>
        <w:t>不对外界排放温室气体，经济可行。通过推动“净零能耗公共建筑倡议”（Zero-Net-EnergyCommercialBuildingsInitiative），到2030年，所有新建公共建筑达到净零能耗状态；到2040年，50%的公共建筑达到零能耗；2050年，所有美国公共建筑达到净零能耗。</w:t>
      </w:r>
    </w:p>
    <w:p w14:paraId="6025AE41">
      <w:pPr>
        <w:rPr>
          <w:lang w:val="zh-CN"/>
        </w:rPr>
      </w:pPr>
      <w:r>
        <w:rPr>
          <w:lang w:val="zh-CN"/>
        </w:rPr>
        <w:t>2008年10月，美国国家科学技术学会（National Science and Technology Council，NSTC）建筑技术研发分委会代表美国能源部、商务部、国防部等十余个国家部委和总统办公室、国家科学基金、国家可再生能源实验室、橡树岭国家实验室、西北太平洋国家实验室、劳伦斯伯克利国家实验室等成员提出《联邦零能耗高性能绿色建筑研究发展规划》，NSTC指出美国联邦政府在绿色建筑领域的科技资金支持约为1.93亿美元/年，只占联邦科研资金的0.2%，还需要进一步增加科研投入。NSTC提出为了进一步推动零能耗高性能绿色建筑，美国应在建筑节能、节水、节材、提升室内环境、能耗预测与检测、支撑工具研发6大领域开展的14项优先工作，也提出了美国迈向零能耗建筑的路径，即通过节能技术将建筑终端用能降低60%-70%，用太阳能满足剩余的30%-40%能源需求。</w:t>
      </w:r>
    </w:p>
    <w:p w14:paraId="42A501A2">
      <w:r>
        <w:rPr>
          <w:lang w:val="zh-CN"/>
        </w:rPr>
        <w:t>美国在2008年提出了“零能耗公共建筑发端计划”，要求在2030年所有新建公共建筑、2040年既有公共建筑的50%要完成零能耗化的技术改造。为了加快零能耗建筑的发展，美国正在积极地进行着既有建筑物的节能改造。</w:t>
      </w:r>
    </w:p>
    <w:p w14:paraId="697ED07C">
      <w:pPr>
        <w:spacing w:line="360" w:lineRule="auto"/>
        <w:ind w:left="562" w:firstLine="482"/>
        <w:rPr>
          <w:rFonts w:ascii="Times New Roman" w:hAnsi="Times New Roman"/>
          <w:b/>
          <w:szCs w:val="28"/>
        </w:rPr>
      </w:pPr>
      <w:r>
        <w:rPr>
          <w:rFonts w:hint="eastAsia" w:ascii="Times New Roman" w:hAnsi="Times New Roman"/>
          <w:b/>
          <w:szCs w:val="28"/>
        </w:rPr>
        <w:t>（五）欧盟</w:t>
      </w:r>
    </w:p>
    <w:p w14:paraId="697F45DC">
      <w:pPr>
        <w:rPr>
          <w:lang w:val="zh-CN"/>
        </w:rPr>
      </w:pPr>
      <w:r>
        <w:rPr>
          <w:lang w:val="zh-CN"/>
        </w:rPr>
        <w:t>欧洲以德国被动房研究中心（PHI）等为例，已经形成了体系化、规模化的被动式建筑标准和认证体系。</w:t>
      </w:r>
    </w:p>
    <w:p w14:paraId="63284E1A">
      <w:pPr>
        <w:rPr>
          <w:lang w:val="zh-CN"/>
        </w:rPr>
        <w:sectPr>
          <w:pgSz w:w="11906" w:h="16838"/>
          <w:pgMar w:top="1440" w:right="1800" w:bottom="1440" w:left="1800" w:header="851" w:footer="992" w:gutter="0"/>
          <w:cols w:space="425" w:num="1"/>
          <w:docGrid w:type="lines" w:linePitch="326" w:charSpace="0"/>
        </w:sectPr>
      </w:pPr>
      <w:r>
        <w:rPr>
          <w:lang w:val="zh-CN"/>
        </w:rPr>
        <w:t>欧盟于2010年7月9日发布的《建筑能效指令》（修订版）（EnergyPerformanceofBuildingDirectiverecast，EPBD）在欧盟内部影响力巨大，它要求各成员国应确保在2018年12月31日后，所有的政府拥有或使用的建筑应达到“超低能耗建筑”，在2020年12月31日前，所有新建建筑达到“超低能耗建筑”（</w:t>
      </w:r>
      <w:r>
        <w:t>N</w:t>
      </w:r>
      <w:r>
        <w:rPr>
          <w:lang w:val="zh-CN"/>
        </w:rPr>
        <w:t>early</w:t>
      </w:r>
      <w:r>
        <w:t>Z</w:t>
      </w:r>
      <w:r>
        <w:rPr>
          <w:lang w:val="zh-CN"/>
        </w:rPr>
        <w:t>ero-energy</w:t>
      </w:r>
      <w:r>
        <w:t>B</w:t>
      </w:r>
      <w:r>
        <w:rPr>
          <w:lang w:val="zh-CN"/>
        </w:rPr>
        <w:t>uildings）。《建筑能效指令》定义零能耗建筑为“具有非常高的能效”的建筑，《指令》还要求“超低能耗建筑”能耗表达单位应使用</w:t>
      </w:r>
      <w:r>
        <w:rPr>
          <w:rFonts w:hint="eastAsia"/>
          <w:lang w:val="zh-CN"/>
        </w:rPr>
        <w:t>千瓦时</w:t>
      </w:r>
      <w:r>
        <w:rPr>
          <w:lang w:val="zh-CN"/>
        </w:rPr>
        <w:t>/（</w:t>
      </w:r>
      <w:r>
        <w:rPr>
          <w:rFonts w:hint="eastAsia"/>
          <w:lang w:val="zh-CN"/>
        </w:rPr>
        <w:t>平方米</w:t>
      </w:r>
      <w:r>
        <w:t>·</w:t>
      </w:r>
      <w:r>
        <w:rPr>
          <w:lang w:val="zh-CN"/>
        </w:rPr>
        <w:t>年）。欧洲暖通学会联合会（REHVA）的JarekKurnitski等专家将“超低能耗建筑”进一步定义为：以各国实际情况为基础，在充分考虑节能技术成本效益比的前提下，其一次能耗大于0</w:t>
      </w:r>
      <w:r>
        <w:rPr>
          <w:rFonts w:hint="eastAsia"/>
          <w:lang w:val="zh-CN"/>
        </w:rPr>
        <w:t>千瓦时</w:t>
      </w:r>
      <w:r>
        <w:rPr>
          <w:lang w:val="zh-CN"/>
        </w:rPr>
        <w:t>/（</w:t>
      </w:r>
      <w:r>
        <w:rPr>
          <w:rFonts w:hint="eastAsia"/>
          <w:lang w:val="zh-CN"/>
        </w:rPr>
        <w:t>平方米</w:t>
      </w:r>
      <w:r>
        <w:t>·</w:t>
      </w:r>
      <w:r>
        <w:rPr>
          <w:lang w:val="zh-CN"/>
        </w:rPr>
        <w:t>年）的建筑。欧盟专家还对零能耗计算的边界范围、一次能源转换系数、是否应考虑区域供热供冷等系统、是否应考虑电器使用能耗进行了探讨研究。虽然欧盟各国对“超低能耗建筑”定义和技术路径都不同，但大多数国家还是给出了相对明晰的发展目标，发展目标主要针对新建建筑，具体见表</w:t>
      </w:r>
      <w:r>
        <w:t>9-3</w:t>
      </w:r>
      <w:r>
        <w:rPr>
          <w:lang w:val="zh-CN"/>
        </w:rPr>
        <w:t>。</w:t>
      </w:r>
    </w:p>
    <w:p w14:paraId="1F89036C">
      <w:pPr>
        <w:spacing w:before="163" w:after="163"/>
      </w:pPr>
      <w:r>
        <w:rPr>
          <w:rFonts w:hint="eastAsia"/>
        </w:rPr>
        <w:t>表</w:t>
      </w:r>
      <w:r>
        <w:t>8</w:t>
      </w:r>
      <w:r>
        <w:rPr>
          <w:rFonts w:hint="eastAsia"/>
        </w:rPr>
        <w:t>-</w:t>
      </w:r>
      <w:r>
        <w:t>11 部分欧洲国家“超低能耗建筑”发展目标</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6"/>
        <w:gridCol w:w="3467"/>
        <w:gridCol w:w="6761"/>
      </w:tblGrid>
      <w:tr w14:paraId="0A14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92" w:type="pct"/>
            <w:vAlign w:val="center"/>
          </w:tcPr>
          <w:p w14:paraId="1BF780DA">
            <w:pPr>
              <w:pStyle w:val="40"/>
            </w:pPr>
            <w:r>
              <w:t>国家</w:t>
            </w:r>
          </w:p>
        </w:tc>
        <w:tc>
          <w:tcPr>
            <w:tcW w:w="1223" w:type="pct"/>
            <w:vAlign w:val="center"/>
          </w:tcPr>
          <w:p w14:paraId="74E7923C">
            <w:pPr>
              <w:pStyle w:val="40"/>
            </w:pPr>
            <w:r>
              <w:t>时间（年）</w:t>
            </w:r>
          </w:p>
        </w:tc>
        <w:tc>
          <w:tcPr>
            <w:tcW w:w="2385" w:type="pct"/>
            <w:vAlign w:val="center"/>
          </w:tcPr>
          <w:p w14:paraId="5CD8341C">
            <w:pPr>
              <w:pStyle w:val="40"/>
            </w:pPr>
            <w:r>
              <w:t>“超低能耗建筑”目标</w:t>
            </w:r>
          </w:p>
        </w:tc>
      </w:tr>
      <w:tr w14:paraId="365C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vAlign w:val="center"/>
          </w:tcPr>
          <w:p w14:paraId="66D494AB">
            <w:pPr>
              <w:pStyle w:val="40"/>
            </w:pPr>
            <w:r>
              <w:t>丹麦</w:t>
            </w:r>
          </w:p>
        </w:tc>
        <w:tc>
          <w:tcPr>
            <w:tcW w:w="1223" w:type="pct"/>
            <w:vAlign w:val="center"/>
          </w:tcPr>
          <w:p w14:paraId="5518BE1F">
            <w:pPr>
              <w:pStyle w:val="40"/>
            </w:pPr>
            <w:r>
              <w:t>2020</w:t>
            </w:r>
          </w:p>
        </w:tc>
        <w:tc>
          <w:tcPr>
            <w:tcW w:w="2385" w:type="pct"/>
            <w:vAlign w:val="center"/>
          </w:tcPr>
          <w:p w14:paraId="75E3AC59">
            <w:pPr>
              <w:pStyle w:val="40"/>
            </w:pPr>
            <w:r>
              <w:t>建筑能耗比2006年降低75%</w:t>
            </w:r>
          </w:p>
        </w:tc>
      </w:tr>
      <w:tr w14:paraId="61F2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vAlign w:val="center"/>
          </w:tcPr>
          <w:p w14:paraId="2804D26A">
            <w:pPr>
              <w:pStyle w:val="40"/>
            </w:pPr>
            <w:r>
              <w:t>芬兰</w:t>
            </w:r>
          </w:p>
        </w:tc>
        <w:tc>
          <w:tcPr>
            <w:tcW w:w="1223" w:type="pct"/>
            <w:vAlign w:val="center"/>
          </w:tcPr>
          <w:p w14:paraId="0FCE26DB">
            <w:pPr>
              <w:pStyle w:val="40"/>
            </w:pPr>
            <w:r>
              <w:t>2015</w:t>
            </w:r>
          </w:p>
        </w:tc>
        <w:tc>
          <w:tcPr>
            <w:tcW w:w="2385" w:type="pct"/>
            <w:vAlign w:val="center"/>
          </w:tcPr>
          <w:p w14:paraId="2CC0EA2A">
            <w:pPr>
              <w:pStyle w:val="40"/>
            </w:pPr>
            <w:r>
              <w:t>执行被动房标准</w:t>
            </w:r>
          </w:p>
        </w:tc>
      </w:tr>
      <w:tr w14:paraId="3468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vAlign w:val="center"/>
          </w:tcPr>
          <w:p w14:paraId="7A2BD1DE">
            <w:pPr>
              <w:pStyle w:val="40"/>
            </w:pPr>
            <w:r>
              <w:t>法国</w:t>
            </w:r>
          </w:p>
        </w:tc>
        <w:tc>
          <w:tcPr>
            <w:tcW w:w="1223" w:type="pct"/>
            <w:vAlign w:val="center"/>
          </w:tcPr>
          <w:p w14:paraId="5E4A1CCF">
            <w:pPr>
              <w:pStyle w:val="40"/>
            </w:pPr>
            <w:r>
              <w:t>2020</w:t>
            </w:r>
          </w:p>
        </w:tc>
        <w:tc>
          <w:tcPr>
            <w:tcW w:w="2385" w:type="pct"/>
            <w:vAlign w:val="center"/>
          </w:tcPr>
          <w:p w14:paraId="61C0244C">
            <w:pPr>
              <w:pStyle w:val="40"/>
            </w:pPr>
            <w:r>
              <w:t>建筑需可对外供能</w:t>
            </w:r>
          </w:p>
        </w:tc>
      </w:tr>
      <w:tr w14:paraId="22E9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vAlign w:val="center"/>
          </w:tcPr>
          <w:p w14:paraId="2D9124FA">
            <w:pPr>
              <w:pStyle w:val="40"/>
            </w:pPr>
            <w:r>
              <w:t>德国</w:t>
            </w:r>
          </w:p>
        </w:tc>
        <w:tc>
          <w:tcPr>
            <w:tcW w:w="1223" w:type="pct"/>
            <w:vAlign w:val="center"/>
          </w:tcPr>
          <w:p w14:paraId="50B1AE27">
            <w:pPr>
              <w:pStyle w:val="40"/>
            </w:pPr>
            <w:r>
              <w:t>2020</w:t>
            </w:r>
          </w:p>
        </w:tc>
        <w:tc>
          <w:tcPr>
            <w:tcW w:w="2385" w:type="pct"/>
            <w:vAlign w:val="center"/>
          </w:tcPr>
          <w:p w14:paraId="5431AAA2">
            <w:pPr>
              <w:pStyle w:val="40"/>
            </w:pPr>
            <w:r>
              <w:t>无需化石燃料可运营</w:t>
            </w:r>
          </w:p>
        </w:tc>
      </w:tr>
      <w:tr w14:paraId="7146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vAlign w:val="center"/>
          </w:tcPr>
          <w:p w14:paraId="0B4003F9">
            <w:pPr>
              <w:pStyle w:val="40"/>
            </w:pPr>
            <w:r>
              <w:t>匈牙利</w:t>
            </w:r>
          </w:p>
        </w:tc>
        <w:tc>
          <w:tcPr>
            <w:tcW w:w="1223" w:type="pct"/>
            <w:vAlign w:val="center"/>
          </w:tcPr>
          <w:p w14:paraId="1DEC266D">
            <w:pPr>
              <w:pStyle w:val="40"/>
            </w:pPr>
            <w:r>
              <w:t>2020</w:t>
            </w:r>
          </w:p>
        </w:tc>
        <w:tc>
          <w:tcPr>
            <w:tcW w:w="2385" w:type="pct"/>
            <w:vAlign w:val="center"/>
          </w:tcPr>
          <w:p w14:paraId="6B990AD7">
            <w:pPr>
              <w:pStyle w:val="40"/>
            </w:pPr>
            <w:r>
              <w:t>达到零碳排放</w:t>
            </w:r>
          </w:p>
        </w:tc>
      </w:tr>
      <w:tr w14:paraId="7252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vAlign w:val="center"/>
          </w:tcPr>
          <w:p w14:paraId="4566B35D">
            <w:pPr>
              <w:pStyle w:val="40"/>
            </w:pPr>
            <w:r>
              <w:t>爱尔兰</w:t>
            </w:r>
          </w:p>
        </w:tc>
        <w:tc>
          <w:tcPr>
            <w:tcW w:w="1223" w:type="pct"/>
            <w:vAlign w:val="center"/>
          </w:tcPr>
          <w:p w14:paraId="3DF65E35">
            <w:pPr>
              <w:pStyle w:val="40"/>
            </w:pPr>
            <w:r>
              <w:t>2013</w:t>
            </w:r>
          </w:p>
        </w:tc>
        <w:tc>
          <w:tcPr>
            <w:tcW w:w="2385" w:type="pct"/>
            <w:vAlign w:val="center"/>
          </w:tcPr>
          <w:p w14:paraId="4D082209">
            <w:pPr>
              <w:pStyle w:val="40"/>
            </w:pPr>
            <w:r>
              <w:t>达到净零能耗</w:t>
            </w:r>
          </w:p>
        </w:tc>
      </w:tr>
      <w:tr w14:paraId="4D56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vAlign w:val="center"/>
          </w:tcPr>
          <w:p w14:paraId="0FBA547F">
            <w:pPr>
              <w:pStyle w:val="40"/>
            </w:pPr>
            <w:r>
              <w:t>荷兰</w:t>
            </w:r>
          </w:p>
        </w:tc>
        <w:tc>
          <w:tcPr>
            <w:tcW w:w="1223" w:type="pct"/>
            <w:vAlign w:val="center"/>
          </w:tcPr>
          <w:p w14:paraId="0F5FFFBD">
            <w:pPr>
              <w:pStyle w:val="40"/>
            </w:pPr>
            <w:r>
              <w:t>2020</w:t>
            </w:r>
          </w:p>
        </w:tc>
        <w:tc>
          <w:tcPr>
            <w:tcW w:w="2385" w:type="pct"/>
            <w:vAlign w:val="center"/>
          </w:tcPr>
          <w:p w14:paraId="1B11B854">
            <w:pPr>
              <w:pStyle w:val="40"/>
            </w:pPr>
            <w:r>
              <w:t>达到能源中和</w:t>
            </w:r>
          </w:p>
        </w:tc>
      </w:tr>
      <w:tr w14:paraId="208F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vAlign w:val="center"/>
          </w:tcPr>
          <w:p w14:paraId="7BD3DDA5">
            <w:pPr>
              <w:pStyle w:val="40"/>
            </w:pPr>
            <w:r>
              <w:t>挪威</w:t>
            </w:r>
          </w:p>
        </w:tc>
        <w:tc>
          <w:tcPr>
            <w:tcW w:w="1223" w:type="pct"/>
            <w:vAlign w:val="center"/>
          </w:tcPr>
          <w:p w14:paraId="60F7FF62">
            <w:pPr>
              <w:pStyle w:val="40"/>
            </w:pPr>
            <w:r>
              <w:t>2017</w:t>
            </w:r>
          </w:p>
        </w:tc>
        <w:tc>
          <w:tcPr>
            <w:tcW w:w="2385" w:type="pct"/>
            <w:vAlign w:val="center"/>
          </w:tcPr>
          <w:p w14:paraId="3E8AE74B">
            <w:pPr>
              <w:pStyle w:val="40"/>
            </w:pPr>
            <w:r>
              <w:t>执行被动房标准</w:t>
            </w:r>
          </w:p>
        </w:tc>
      </w:tr>
      <w:tr w14:paraId="0945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vAlign w:val="center"/>
          </w:tcPr>
          <w:p w14:paraId="64449EBC">
            <w:pPr>
              <w:pStyle w:val="40"/>
            </w:pPr>
            <w:r>
              <w:t>英国</w:t>
            </w:r>
          </w:p>
        </w:tc>
        <w:tc>
          <w:tcPr>
            <w:tcW w:w="1223" w:type="pct"/>
            <w:vAlign w:val="center"/>
          </w:tcPr>
          <w:p w14:paraId="53A6A8D2">
            <w:pPr>
              <w:pStyle w:val="40"/>
            </w:pPr>
            <w:r>
              <w:t>2016</w:t>
            </w:r>
          </w:p>
        </w:tc>
        <w:tc>
          <w:tcPr>
            <w:tcW w:w="2385" w:type="pct"/>
            <w:vAlign w:val="center"/>
          </w:tcPr>
          <w:p w14:paraId="4CB9CFA4">
            <w:pPr>
              <w:pStyle w:val="40"/>
            </w:pPr>
            <w:r>
              <w:t>达到零碳排放</w:t>
            </w:r>
          </w:p>
        </w:tc>
      </w:tr>
    </w:tbl>
    <w:p w14:paraId="52CF82F6">
      <w:pPr>
        <w:spacing w:line="360" w:lineRule="auto"/>
        <w:ind w:left="562" w:firstLine="562"/>
        <w:rPr>
          <w:rFonts w:ascii="Times New Roman" w:hAnsi="Times New Roman"/>
          <w:b/>
          <w:bCs/>
          <w:sz w:val="28"/>
          <w:szCs w:val="28"/>
          <w:lang w:val="zh-CN"/>
        </w:rPr>
        <w:sectPr>
          <w:pgSz w:w="16838" w:h="11906" w:orient="landscape"/>
          <w:pgMar w:top="1800" w:right="1440" w:bottom="1800" w:left="1440" w:header="851" w:footer="992" w:gutter="0"/>
          <w:cols w:space="425" w:num="1"/>
          <w:docGrid w:type="lines" w:linePitch="326" w:charSpace="0"/>
        </w:sectPr>
      </w:pPr>
    </w:p>
    <w:p w14:paraId="1D37DD4B">
      <w:pPr>
        <w:spacing w:line="360" w:lineRule="auto"/>
        <w:ind w:left="562" w:firstLine="482"/>
        <w:rPr>
          <w:rFonts w:ascii="Times New Roman" w:hAnsi="Times New Roman"/>
          <w:b/>
          <w:szCs w:val="28"/>
        </w:rPr>
      </w:pPr>
      <w:r>
        <w:rPr>
          <w:rFonts w:hint="eastAsia" w:ascii="Times New Roman" w:hAnsi="Times New Roman"/>
          <w:b/>
          <w:szCs w:val="28"/>
        </w:rPr>
        <w:t>（六）英国</w:t>
      </w:r>
    </w:p>
    <w:p w14:paraId="3D713014">
      <w:pPr>
        <w:rPr>
          <w:lang w:val="zh-CN"/>
        </w:rPr>
      </w:pPr>
      <w:r>
        <w:rPr>
          <w:lang w:val="zh-CN"/>
        </w:rPr>
        <w:t>2006年12月，英国政府宣布所有政府出资的新建建筑应在2016年达到零碳排放标准。2007年，英国可再生能源建议委员会向英国可再生能源学会提交报告，提出：真正的“零碳居住建筑”（Zero-CarbonHome）应无需电网输入能源且不对大气排放CO</w:t>
      </w:r>
      <w:r>
        <w:rPr>
          <w:vertAlign w:val="subscript"/>
          <w:lang w:val="zh-CN"/>
        </w:rPr>
        <w:t>2</w:t>
      </w:r>
      <w:r>
        <w:rPr>
          <w:lang w:val="zh-CN"/>
        </w:rPr>
        <w:t>，其供暖需求应通过建筑设计降至最低</w:t>
      </w:r>
      <w:r>
        <w:rPr>
          <w:rFonts w:hint="eastAsia"/>
          <w:lang w:val="zh-CN"/>
        </w:rPr>
        <w:t>并</w:t>
      </w:r>
      <w:r>
        <w:rPr>
          <w:lang w:val="zh-CN"/>
        </w:rPr>
        <w:t>通过可再生燃料和技术满足，其电力需求也应降至最低</w:t>
      </w:r>
      <w:r>
        <w:rPr>
          <w:rFonts w:hint="eastAsia"/>
          <w:lang w:val="zh-CN"/>
        </w:rPr>
        <w:t>并</w:t>
      </w:r>
      <w:r>
        <w:rPr>
          <w:lang w:val="zh-CN"/>
        </w:rPr>
        <w:t>通过可再生能源发电满足。2007年，英国政府引入由英国建筑科学研究院（BRE）建立的《可持续家庭评价标准》（CodeforSustainableHomesRating），此评价标准的9个核心指标之一为能源使用与碳排放。后续版本的《可持续家庭技术导则标准》（CodeforSustainableHomesTechnicalGuide）将“零碳居住建筑”定义为：居住建筑中所有能源消耗产生的净CO</w:t>
      </w:r>
      <w:r>
        <w:rPr>
          <w:vertAlign w:val="subscript"/>
          <w:lang w:val="zh-CN"/>
        </w:rPr>
        <w:t>2</w:t>
      </w:r>
      <w:r>
        <w:rPr>
          <w:lang w:val="zh-CN"/>
        </w:rPr>
        <w:t>排放为零或更低，其热损失系数（HeatLossParameter，综合考虑了墙体、窗户、气密性和建筑设计等因素）应为0.8</w:t>
      </w:r>
      <w:r>
        <w:rPr>
          <w:rFonts w:hint="eastAsia"/>
          <w:lang w:val="zh-CN"/>
        </w:rPr>
        <w:t>瓦</w:t>
      </w:r>
      <w:r>
        <w:rPr>
          <w:lang w:val="zh-CN"/>
        </w:rPr>
        <w:t>/（平方米</w:t>
      </w:r>
      <w:r>
        <w:t>·</w:t>
      </w:r>
      <w:r>
        <w:rPr>
          <w:rFonts w:hint="eastAsia"/>
          <w:lang w:val="zh-CN"/>
        </w:rPr>
        <w:t>开</w:t>
      </w:r>
      <w:r>
        <w:rPr>
          <w:lang w:val="zh-CN"/>
        </w:rPr>
        <w:t>）或更低，以年为计量单位下，其家用电器和炊事排放CO</w:t>
      </w:r>
      <w:r>
        <w:rPr>
          <w:vertAlign w:val="subscript"/>
          <w:lang w:val="zh-CN"/>
        </w:rPr>
        <w:t>2</w:t>
      </w:r>
      <w:r>
        <w:rPr>
          <w:lang w:val="zh-CN"/>
        </w:rPr>
        <w:t>应为0，能源消耗计算应包括供冷供热、热水系统、通风、室内照明、炊事和所有家用电器。由于英国政府对“零碳居住建筑”有补贴，其土地印花税的文件中也对“零碳居住建筑”进行了更加详细的定义，定义基本和《可持续家庭技术导则标准》一致，但有两条有细微区别：（</w:t>
      </w:r>
      <w:r>
        <w:t>1</w:t>
      </w:r>
      <w:r>
        <w:rPr>
          <w:lang w:val="zh-CN"/>
        </w:rPr>
        <w:t>）要求建筑物供暖负荷低于15</w:t>
      </w:r>
      <w:r>
        <w:rPr>
          <w:rFonts w:hint="eastAsia"/>
          <w:lang w:val="zh-CN"/>
        </w:rPr>
        <w:t>千瓦时</w:t>
      </w:r>
      <w:r>
        <w:rPr>
          <w:lang w:val="zh-CN"/>
        </w:rPr>
        <w:t>/（</w:t>
      </w:r>
      <w:r>
        <w:rPr>
          <w:rFonts w:hint="eastAsia"/>
          <w:lang w:val="zh-CN"/>
        </w:rPr>
        <w:t>平方米</w:t>
      </w:r>
      <w:r>
        <w:t>·</w:t>
      </w:r>
      <w:r>
        <w:rPr>
          <w:lang w:val="zh-CN"/>
        </w:rPr>
        <w:t>年），（2）需要计算非建筑影响能耗。</w:t>
      </w:r>
    </w:p>
    <w:p w14:paraId="552B6F27">
      <w:pPr>
        <w:rPr>
          <w:lang w:val="zh-CN"/>
        </w:rPr>
      </w:pPr>
      <w:r>
        <w:rPr>
          <w:lang w:val="zh-CN"/>
        </w:rPr>
        <w:t>英国建造</w:t>
      </w:r>
      <w:r>
        <w:rPr>
          <w:rFonts w:hint="eastAsia"/>
          <w:lang w:val="zh-CN"/>
        </w:rPr>
        <w:t>的</w:t>
      </w:r>
      <w:r>
        <w:rPr>
          <w:lang w:val="zh-CN"/>
        </w:rPr>
        <w:t>零能耗建筑的示范住宅——创新公园，旨在推动零能耗建筑的发展。政府积极推进相关的标识评价制度，并对零能耗居住建筑给予补贴。</w:t>
      </w:r>
    </w:p>
    <w:p w14:paraId="4B22A7AF">
      <w:pPr>
        <w:spacing w:line="360" w:lineRule="auto"/>
        <w:ind w:left="562" w:firstLine="482"/>
        <w:rPr>
          <w:rFonts w:ascii="Times New Roman" w:hAnsi="Times New Roman"/>
          <w:b/>
          <w:szCs w:val="28"/>
        </w:rPr>
      </w:pPr>
      <w:r>
        <w:rPr>
          <w:rFonts w:hint="eastAsia" w:ascii="Times New Roman" w:hAnsi="Times New Roman"/>
          <w:b/>
          <w:szCs w:val="28"/>
        </w:rPr>
        <w:t>（七）韩国</w:t>
      </w:r>
    </w:p>
    <w:p w14:paraId="70C3C6BA">
      <w:pPr>
        <w:rPr>
          <w:lang w:val="zh-CN"/>
        </w:rPr>
      </w:pPr>
      <w:r>
        <w:rPr>
          <w:lang w:val="zh-CN"/>
        </w:rPr>
        <w:t>韩国政府考虑到目前的其国家的经济技术水平，零能耗建筑的推广实施不能一蹴而就，而越早开始提升建筑能效，碳排放降低越大。为此，韩国制定了详细的阶段性发展目标，逐步实现零能耗建筑。</w:t>
      </w:r>
    </w:p>
    <w:p w14:paraId="115CAA6F">
      <w:pPr>
        <w:rPr>
          <w:lang w:val="zh-CN"/>
        </w:rPr>
      </w:pPr>
      <w:r>
        <w:rPr>
          <w:lang w:val="zh-CN"/>
        </w:rPr>
        <w:t>2009年7月6日，韩国政府发表了“绿色增长国家战略及五年计划”，针对零能耗建筑目标做出三步规划：</w:t>
      </w:r>
    </w:p>
    <w:p w14:paraId="17874136">
      <w:pPr>
        <w:rPr>
          <w:lang w:val="zh-CN"/>
        </w:rPr>
      </w:pPr>
      <w:r>
        <w:rPr>
          <w:lang w:val="zh-CN"/>
        </w:rPr>
        <w:t>1）到2012年，实现低能耗建筑目标，建筑制冷/供暖能耗降低50%；</w:t>
      </w:r>
    </w:p>
    <w:p w14:paraId="7CAA1333">
      <w:pPr>
        <w:rPr>
          <w:lang w:val="zh-CN"/>
        </w:rPr>
      </w:pPr>
      <w:r>
        <w:rPr>
          <w:lang w:val="zh-CN"/>
        </w:rPr>
        <w:t>2）到2017年，实现被动房建筑目标，建筑制冷/供暖能耗降低80%；</w:t>
      </w:r>
    </w:p>
    <w:p w14:paraId="42F7A5F9">
      <w:pPr>
        <w:rPr>
          <w:lang w:val="zh-CN"/>
        </w:rPr>
      </w:pPr>
      <w:r>
        <w:rPr>
          <w:lang w:val="zh-CN"/>
        </w:rPr>
        <w:t>3）到2025年，全面实现零能耗建筑目标，建筑能耗基本实现供需平衡。</w:t>
      </w:r>
    </w:p>
    <w:p w14:paraId="0D5B4F42">
      <w:pPr>
        <w:rPr>
          <w:lang w:val="zh-CN"/>
        </w:rPr>
      </w:pPr>
      <w:r>
        <w:rPr>
          <w:lang w:val="zh-CN"/>
        </w:rPr>
        <w:t>韩国国土交通部联合其它六部委于2014年7月17日颁布了《应对气候变化的零能耗建筑行动计划》。该计划制定了韩国零能耗建筑的推广策略，并制定了详细的阶段性发展目标，分析了零能耗建筑推广的主要困难，制定了相应的促进政策和激励措施。同时，对参与计划的国土交通部及其他部委作了明确分工，确保项目顺利实施。</w:t>
      </w:r>
    </w:p>
    <w:p w14:paraId="2BF1C3ED">
      <w:pPr>
        <w:spacing w:line="360" w:lineRule="auto"/>
        <w:ind w:left="562" w:firstLine="482"/>
        <w:rPr>
          <w:rFonts w:ascii="Times New Roman" w:hAnsi="Times New Roman"/>
          <w:b/>
          <w:szCs w:val="28"/>
        </w:rPr>
      </w:pPr>
      <w:r>
        <w:rPr>
          <w:rFonts w:hint="eastAsia" w:ascii="Times New Roman" w:hAnsi="Times New Roman"/>
          <w:b/>
          <w:szCs w:val="28"/>
        </w:rPr>
        <w:t>（八）日本</w:t>
      </w:r>
    </w:p>
    <w:p w14:paraId="70B8C126">
      <w:pPr>
        <w:rPr>
          <w:lang w:val="zh-CN"/>
        </w:rPr>
      </w:pPr>
      <w:r>
        <w:rPr>
          <w:lang w:val="zh-CN"/>
        </w:rPr>
        <w:t>日本于2009年提出加速发展零能耗，在2010年的能源基本计划中提出到2020年新建公共建筑全部达到零能耗建筑标准，到2030年全部新建建筑物整体上平均实现零能耗。同时，强化节能标准，加大资金力度，以政策和税收激励制度鼓励发展零能耗建筑。</w:t>
      </w:r>
    </w:p>
    <w:p w14:paraId="45604145">
      <w:pPr>
        <w:spacing w:line="360" w:lineRule="auto"/>
        <w:ind w:left="562" w:firstLine="562"/>
        <w:rPr>
          <w:rFonts w:ascii="Times New Roman" w:hAnsi="Times New Roman"/>
          <w:sz w:val="28"/>
          <w:szCs w:val="28"/>
          <w:lang w:val="zh-CN"/>
        </w:rPr>
      </w:pPr>
      <w:bookmarkStart w:id="109" w:name="_Toc37379166"/>
      <w:bookmarkStart w:id="110" w:name="_Toc26753587"/>
      <w:bookmarkStart w:id="111" w:name="_Toc42096247"/>
      <w:r>
        <w:rPr>
          <w:rFonts w:hint="eastAsia" w:ascii="Times New Roman" w:hAnsi="Times New Roman"/>
          <w:b/>
          <w:sz w:val="28"/>
          <w:szCs w:val="28"/>
          <w:lang w:val="zh-CN"/>
        </w:rPr>
        <w:t>二、</w:t>
      </w:r>
      <w:r>
        <w:rPr>
          <w:rFonts w:ascii="Times New Roman" w:hAnsi="Times New Roman"/>
          <w:b/>
          <w:sz w:val="28"/>
          <w:szCs w:val="28"/>
          <w:lang w:val="zh-CN"/>
        </w:rPr>
        <w:t>国家层面</w:t>
      </w:r>
      <w:bookmarkEnd w:id="109"/>
      <w:bookmarkEnd w:id="110"/>
      <w:bookmarkEnd w:id="111"/>
    </w:p>
    <w:p w14:paraId="0CA012FF">
      <w:pPr>
        <w:rPr>
          <w:lang w:val="zh-CN"/>
        </w:rPr>
      </w:pPr>
      <w:r>
        <w:rPr>
          <w:lang w:val="zh-CN"/>
        </w:rPr>
        <w:t>超低能耗建筑、乃至零能耗建筑相关技术是全球目前建筑节能发展的重要方向，通过提高建筑围护结构的性能，被动优先，主动优化，降低建筑的能耗。发展被动式超低能耗建筑是促进资源综合利用，建设节约型社会，发展循环经济的必然要求；是节约能源，保障国家能源安全的关键环节；被动式超低能耗建筑势必将引领下一步建筑节能的发展，以及新一代绿色建筑技术的提升。</w:t>
      </w:r>
    </w:p>
    <w:p w14:paraId="0886724E">
      <w:pPr>
        <w:rPr>
          <w:lang w:val="zh-CN"/>
        </w:rPr>
      </w:pPr>
      <w:r>
        <w:rPr>
          <w:lang w:val="zh-CN"/>
        </w:rPr>
        <w:t>我国也在积极探索适合我国国情的零能耗建筑发展路线，其中超低能耗建筑和被动式超低能耗建筑是我国建筑节能发展的必经阶段。2002年开始的中瑞超低能耗建筑合作，2010年上海世博会的英国零碳馆和德国汉堡之家是我国建筑迈向更低能耗的初步探索。2011年起，在中国住房和城乡建设部与德国联邦交通、建设及城市发展部的支持下，住房城乡建设部科技发展促进中心与德国能源署引进德国建筑节能技术，建设了河北秦皇岛在水一方、黑龙江哈尔滨溪树庭院、河北省建筑科技研发中心科研办公楼等建筑节能示范工程。2013年起，中美清洁能源联合研究中心建筑节能工作组开展了近零能耗建筑、零能耗建筑节能技术领域的研究与合作，建造完成中国建筑科学研究院近零能耗示范建筑、珠海兴业近零能耗示范建筑等示范工程，取得了非常好的节能效果和广泛的社会影响。2016年发布的《中国超低/近零能耗建筑最佳实践案例集》，对我国开展超低/近零能耗建筑工程项目的技术方案、施工工法以及运行效果加以总结、梳理和提炼。为了建立符合中国国情的超低能耗建筑技术及标准体系，并与我国绿色建筑发展战略相结合，更好地指导超低能耗建筑和绿色建筑的推广，受住房和城乡建设部委托，中国建筑科学研究院在充分借鉴国外被动式超低能耗建筑建设经验并结合我国工程实践的基础上，编制了《被动式超低能耗绿色建筑技术导则（试行）》，并于2015年11月发布。为促进</w:t>
      </w:r>
      <w:r>
        <w:rPr>
          <w:color w:val="222222"/>
        </w:rPr>
        <w:t>“十三五”</w:t>
      </w:r>
      <w:r>
        <w:rPr>
          <w:lang w:val="zh-CN"/>
        </w:rPr>
        <w:t>时期建筑业持续健康发展，住建部以及部分省市地区政府都对超低/近零能耗建筑发展提出明确目标要求，</w:t>
      </w:r>
      <w:r>
        <w:rPr>
          <w:rFonts w:hint="eastAsia"/>
          <w:lang w:val="zh-CN"/>
        </w:rPr>
        <w:t>使其</w:t>
      </w:r>
      <w:r>
        <w:rPr>
          <w:lang w:val="zh-CN"/>
        </w:rPr>
        <w:t>具有巨大市场需求和广阔发展前景。2019年9月1日《近零能耗建筑技术标准》在我国正式发布并实施。整体看，我国近零能耗建筑仍处在起步阶，但其是我国建筑未来发展的主要方向。</w:t>
      </w:r>
    </w:p>
    <w:p w14:paraId="2F46BEEB">
      <w:pPr>
        <w:pStyle w:val="57"/>
      </w:pPr>
      <w:r>
        <w:rPr>
          <w:rFonts w:hint="eastAsia"/>
        </w:rPr>
        <w:t>第三部分</w:t>
      </w:r>
      <w:r>
        <w:t xml:space="preserve"> </w:t>
      </w:r>
      <w:r>
        <w:rPr>
          <w:rFonts w:hint="eastAsia"/>
        </w:rPr>
        <w:t>装配式建筑</w:t>
      </w:r>
    </w:p>
    <w:p w14:paraId="223FC574">
      <w:pPr>
        <w:spacing w:line="360" w:lineRule="auto"/>
        <w:ind w:left="562" w:firstLine="562"/>
        <w:rPr>
          <w:rFonts w:ascii="Times New Roman" w:hAnsi="Times New Roman"/>
          <w:sz w:val="28"/>
          <w:szCs w:val="28"/>
          <w:lang w:val="zh-CN"/>
        </w:rPr>
      </w:pPr>
      <w:r>
        <w:rPr>
          <w:rFonts w:hint="eastAsia" w:ascii="Times New Roman" w:hAnsi="Times New Roman"/>
          <w:b/>
          <w:sz w:val="28"/>
          <w:szCs w:val="28"/>
          <w:lang w:val="zh-CN"/>
        </w:rPr>
        <w:t>一、</w:t>
      </w:r>
      <w:r>
        <w:rPr>
          <w:rFonts w:ascii="Times New Roman" w:hAnsi="Times New Roman"/>
          <w:b/>
          <w:sz w:val="28"/>
          <w:szCs w:val="28"/>
          <w:lang w:val="zh-CN"/>
        </w:rPr>
        <w:t>国际层面</w:t>
      </w:r>
    </w:p>
    <w:p w14:paraId="7557EF04">
      <w:r>
        <w:t>装配式建筑在美国、加拿大、日本和一些欧洲国家发展较为领先。从20世纪初，美国和加拿大等发达国家就着重针对装配式建筑进行研究和应用，与此同时，进一步成立了预制预应力混凝土协会PCD</w:t>
      </w:r>
      <w:r>
        <w:rPr>
          <w:rFonts w:hint="eastAsia"/>
        </w:rPr>
        <w:t>，并</w:t>
      </w:r>
      <w:r>
        <w:t>长期研究和推广装配式建筑。之后，该协会又结合实际情况进一步出台了许多关于装配式建筑的规范和标准，这在很大程度上有效推进了装配式建筑的发展</w:t>
      </w:r>
      <w:r>
        <w:rPr>
          <w:rFonts w:hint="eastAsia"/>
        </w:rPr>
        <w:t>，</w:t>
      </w:r>
      <w:r>
        <w:t>使其应用范国进一步扩大</w:t>
      </w:r>
      <w:r>
        <w:rPr>
          <w:rFonts w:hint="eastAsia"/>
        </w:rPr>
        <w:t>。</w:t>
      </w:r>
      <w:r>
        <w:t>在大面积的工程施工过程中，装配式建筑越来越充分体现出它的优越性，其质量好，效益高，经济耐用等相关优势越来越显著。装配式建筑在日本的发展已经达到世界超高水平了，日本关于装配式建筑的相关标准和规范也很完善。日本在装配式建筑的发展和应用中，将装配式建筑应用到地震区的高层和超高层建筑中，在几次突发地震中，装配式建筑充分发挥其抗震性的优势，</w:t>
      </w:r>
      <w:r>
        <w:rPr>
          <w:rFonts w:hint="eastAsia"/>
        </w:rPr>
        <w:t>不仅</w:t>
      </w:r>
      <w:r>
        <w:t>保证了人们的生命安全，更得到了充分的重视。欧洲是装配式筑的发源地，最早可以</w:t>
      </w:r>
      <w:r>
        <w:rPr>
          <w:rFonts w:hint="eastAsia"/>
        </w:rPr>
        <w:t>追溯</w:t>
      </w:r>
      <w:r>
        <w:t>到17世纪</w:t>
      </w:r>
      <w:r>
        <w:rPr>
          <w:rFonts w:hint="eastAsia"/>
        </w:rPr>
        <w:t>，</w:t>
      </w:r>
      <w:r>
        <w:t>对装配式建筑的发展有着十分重要的推进作用。</w:t>
      </w:r>
    </w:p>
    <w:p w14:paraId="1BB147B9">
      <w:pPr>
        <w:spacing w:line="360" w:lineRule="auto"/>
        <w:ind w:left="562" w:firstLine="562"/>
        <w:rPr>
          <w:rFonts w:ascii="Times New Roman" w:hAnsi="Times New Roman"/>
          <w:sz w:val="28"/>
          <w:szCs w:val="28"/>
          <w:lang w:val="zh-CN"/>
        </w:rPr>
      </w:pPr>
      <w:bookmarkStart w:id="112" w:name="_Toc37379170"/>
      <w:bookmarkStart w:id="113" w:name="_Toc42096251"/>
      <w:bookmarkStart w:id="114" w:name="_Toc26753591"/>
      <w:r>
        <w:rPr>
          <w:rFonts w:hint="eastAsia" w:ascii="Times New Roman" w:hAnsi="Times New Roman"/>
          <w:b/>
          <w:sz w:val="28"/>
          <w:szCs w:val="28"/>
          <w:lang w:val="zh-CN"/>
        </w:rPr>
        <w:t>二、</w:t>
      </w:r>
      <w:r>
        <w:rPr>
          <w:rFonts w:ascii="Times New Roman" w:hAnsi="Times New Roman"/>
          <w:b/>
          <w:sz w:val="28"/>
          <w:szCs w:val="28"/>
          <w:lang w:val="zh-CN"/>
        </w:rPr>
        <w:t>国家层面</w:t>
      </w:r>
      <w:bookmarkEnd w:id="112"/>
      <w:bookmarkEnd w:id="113"/>
      <w:bookmarkEnd w:id="114"/>
    </w:p>
    <w:p w14:paraId="31DF0ADC">
      <w:r>
        <w:t>我国装配式建筑经过60多年的发展，基本形成了市场主体快速响应、规模效应逐步显现的良好发展局面。改革开放以来，港台地区发展装配式建筑的先进经验给内地建市建设提供了重要参考和借鉴。目前，国家关于推进装配式建筑工作的顶层制度框架已初步形成，各地政府先后出台了一系列政策文件，已具备良好的政策基础。随着配套鼓励措施的不断落地实施和示范项目的推广，相关国家规范和图集、地方标准、行业规程陆续颁布，已初步建立了装配式建筑结构体系、部品体系和技术保障体系。通过产业基地的建设，培育了一批装配式建筑龙头企业，大大提高了产业集聚度，产业配套已具规模。</w:t>
      </w:r>
    </w:p>
    <w:sectPr>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FangSong_GB2312">
    <w:altName w:val="仿宋"/>
    <w:panose1 w:val="00000000000000000000"/>
    <w:charset w:val="01"/>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C3258">
    <w:pPr>
      <w:pStyle w:val="14"/>
      <w:ind w:firstLine="360"/>
      <w:jc w:val="center"/>
    </w:pPr>
  </w:p>
  <w:p w14:paraId="37B2F068">
    <w:pPr>
      <w:pStyle w:val="1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256BC">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EB658">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A34B7">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4548113"/>
      <w:docPartObj>
        <w:docPartGallery w:val="autotext"/>
      </w:docPartObj>
    </w:sdtPr>
    <w:sdtContent>
      <w:p w14:paraId="3FA74A70">
        <w:pPr>
          <w:pStyle w:val="14"/>
          <w:ind w:firstLine="360"/>
          <w:jc w:val="center"/>
        </w:pPr>
        <w:r>
          <w:fldChar w:fldCharType="begin"/>
        </w:r>
        <w:r>
          <w:instrText xml:space="preserve">PAGE   \* MERGEFORMAT</w:instrText>
        </w:r>
        <w:r>
          <w:fldChar w:fldCharType="separate"/>
        </w:r>
        <w:r>
          <w:rPr>
            <w:lang w:val="zh-CN"/>
          </w:rPr>
          <w:t>42</w:t>
        </w:r>
        <w:r>
          <w:fldChar w:fldCharType="end"/>
        </w:r>
      </w:p>
    </w:sdtContent>
  </w:sdt>
  <w:p w14:paraId="0940E167">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685616"/>
      <w:docPartObj>
        <w:docPartGallery w:val="autotext"/>
      </w:docPartObj>
    </w:sdtPr>
    <w:sdtContent>
      <w:p w14:paraId="2E870FB1">
        <w:pPr>
          <w:pStyle w:val="14"/>
          <w:ind w:firstLine="360"/>
        </w:pPr>
        <w:r>
          <w:fldChar w:fldCharType="begin"/>
        </w:r>
        <w:r>
          <w:instrText xml:space="preserve">PAGE   \* MERGEFORMAT</w:instrText>
        </w:r>
        <w:r>
          <w:fldChar w:fldCharType="separate"/>
        </w:r>
        <w:r>
          <w:rPr>
            <w:lang w:val="zh-CN"/>
          </w:rPr>
          <w:t>46</w:t>
        </w:r>
        <w:r>
          <w:fldChar w:fldCharType="end"/>
        </w:r>
      </w:p>
    </w:sdtContent>
  </w:sdt>
  <w:p w14:paraId="11EE3D21">
    <w:pPr>
      <w:pStyle w:val="1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268F">
    <w:pPr>
      <w:pStyle w:val="1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3B80">
    <w:pPr>
      <w:pStyle w:val="14"/>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860338"/>
      <w:docPartObj>
        <w:docPartGallery w:val="autotext"/>
      </w:docPartObj>
    </w:sdtPr>
    <w:sdtContent>
      <w:p w14:paraId="171A3B72">
        <w:pPr>
          <w:pStyle w:val="14"/>
          <w:ind w:firstLine="360"/>
        </w:pPr>
        <w:r>
          <w:fldChar w:fldCharType="begin"/>
        </w:r>
        <w:r>
          <w:instrText xml:space="preserve">PAGE   \* MERGEFORMAT</w:instrText>
        </w:r>
        <w:r>
          <w:fldChar w:fldCharType="separate"/>
        </w:r>
        <w:r>
          <w:rPr>
            <w:lang w:val="zh-CN"/>
          </w:rPr>
          <w:t>49</w:t>
        </w:r>
        <w:r>
          <w:fldChar w:fldCharType="end"/>
        </w:r>
      </w:p>
    </w:sdtContent>
  </w:sdt>
  <w:p w14:paraId="729F1D4F">
    <w:pPr>
      <w:pStyle w:val="14"/>
      <w:ind w:firstLine="360"/>
    </w:pPr>
  </w:p>
  <w:p w14:paraId="2DF3FFB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18C51">
    <w:pPr>
      <w:pStyle w:val="14"/>
      <w:ind w:firstLine="360"/>
    </w:pPr>
  </w:p>
  <w:p w14:paraId="179842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BD8E">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0167">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4479">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2E6D7">
    <w:pPr>
      <w:pStyle w:val="1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340A">
    <w:pPr>
      <w:pStyle w:val="1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4A2C0">
    <w:pPr>
      <w:pStyle w:val="1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E9BC4">
    <w:pPr>
      <w:pStyle w:val="15"/>
      <w:ind w:firstLine="360"/>
    </w:pPr>
  </w:p>
  <w:p w14:paraId="7621461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9713">
    <w:pPr>
      <w:pStyle w:val="15"/>
      <w:ind w:firstLine="360"/>
    </w:pPr>
  </w:p>
  <w:p w14:paraId="2CAD3E5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F4087">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B6119"/>
    <w:multiLevelType w:val="multilevel"/>
    <w:tmpl w:val="035B6119"/>
    <w:lvl w:ilvl="0" w:tentative="0">
      <w:start w:val="1"/>
      <w:numFmt w:val="chineseCountingThousand"/>
      <w:lvlText w:val="第%1章"/>
      <w:lvlJc w:val="left"/>
      <w:pPr>
        <w:ind w:left="425" w:hanging="425"/>
      </w:pPr>
      <w:rPr>
        <w:rFonts w:hint="eastAsia"/>
      </w:rPr>
    </w:lvl>
    <w:lvl w:ilvl="1" w:tentative="0">
      <w:start w:val="1"/>
      <w:numFmt w:val="chineseCountingThousand"/>
      <w:suff w:val="space"/>
      <w:lvlText w:val="%2、"/>
      <w:lvlJc w:val="left"/>
      <w:pPr>
        <w:ind w:left="992" w:hanging="992"/>
      </w:pPr>
      <w:rPr>
        <w:rFonts w:hint="eastAsia"/>
      </w:rPr>
    </w:lvl>
    <w:lvl w:ilvl="2" w:tentative="0">
      <w:start w:val="1"/>
      <w:numFmt w:val="chineseCountingThousand"/>
      <w:suff w:val="space"/>
      <w:lvlText w:val="（%3）"/>
      <w:lvlJc w:val="left"/>
      <w:pPr>
        <w:ind w:left="1277" w:hanging="993"/>
      </w:pPr>
      <w:rPr>
        <w:rFonts w:hint="eastAsia"/>
      </w:rPr>
    </w:lvl>
    <w:lvl w:ilvl="3" w:tentative="0">
      <w:start w:val="1"/>
      <w:numFmt w:val="decimal"/>
      <w:pStyle w:val="5"/>
      <w:suff w:val="space"/>
      <w:lvlText w:val="%4."/>
      <w:lvlJc w:val="left"/>
      <w:pPr>
        <w:ind w:left="1984" w:hanging="1559"/>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B5E412E"/>
    <w:multiLevelType w:val="multilevel"/>
    <w:tmpl w:val="0B5E412E"/>
    <w:lvl w:ilvl="0" w:tentative="0">
      <w:start w:val="1"/>
      <w:numFmt w:val="decimal"/>
      <w:lvlText w:val="%1."/>
      <w:lvlJc w:val="left"/>
      <w:pPr>
        <w:ind w:left="785" w:hanging="360"/>
      </w:pPr>
      <w:rPr>
        <w:rFonts w:hint="default"/>
      </w:rPr>
    </w:lvl>
    <w:lvl w:ilvl="1" w:tentative="0">
      <w:start w:val="2"/>
      <w:numFmt w:val="decimal"/>
      <w:isLgl/>
      <w:lvlText w:val="%1.%2"/>
      <w:lvlJc w:val="left"/>
      <w:pPr>
        <w:ind w:left="1287" w:hanging="720"/>
      </w:pPr>
      <w:rPr>
        <w:rFonts w:hint="default"/>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931" w:hanging="1080"/>
      </w:pPr>
      <w:rPr>
        <w:rFonts w:hint="default"/>
      </w:rPr>
    </w:lvl>
    <w:lvl w:ilvl="4" w:tentative="0">
      <w:start w:val="1"/>
      <w:numFmt w:val="decimal"/>
      <w:isLgl/>
      <w:lvlText w:val="%1.%2.%3.%4.%5"/>
      <w:lvlJc w:val="left"/>
      <w:pPr>
        <w:ind w:left="2433" w:hanging="1440"/>
      </w:pPr>
      <w:rPr>
        <w:rFonts w:hint="default"/>
      </w:rPr>
    </w:lvl>
    <w:lvl w:ilvl="5" w:tentative="0">
      <w:start w:val="1"/>
      <w:numFmt w:val="decimal"/>
      <w:isLgl/>
      <w:lvlText w:val="%1.%2.%3.%4.%5.%6"/>
      <w:lvlJc w:val="left"/>
      <w:pPr>
        <w:ind w:left="2575" w:hanging="1440"/>
      </w:pPr>
      <w:rPr>
        <w:rFonts w:hint="default"/>
      </w:rPr>
    </w:lvl>
    <w:lvl w:ilvl="6" w:tentative="0">
      <w:start w:val="1"/>
      <w:numFmt w:val="decimal"/>
      <w:isLgl/>
      <w:lvlText w:val="%1.%2.%3.%4.%5.%6.%7"/>
      <w:lvlJc w:val="left"/>
      <w:pPr>
        <w:ind w:left="3077" w:hanging="1800"/>
      </w:pPr>
      <w:rPr>
        <w:rFonts w:hint="default"/>
      </w:rPr>
    </w:lvl>
    <w:lvl w:ilvl="7" w:tentative="0">
      <w:start w:val="1"/>
      <w:numFmt w:val="decimal"/>
      <w:isLgl/>
      <w:lvlText w:val="%1.%2.%3.%4.%5.%6.%7.%8"/>
      <w:lvlJc w:val="left"/>
      <w:pPr>
        <w:ind w:left="3579" w:hanging="2160"/>
      </w:pPr>
      <w:rPr>
        <w:rFonts w:hint="default"/>
      </w:rPr>
    </w:lvl>
    <w:lvl w:ilvl="8" w:tentative="0">
      <w:start w:val="1"/>
      <w:numFmt w:val="decimal"/>
      <w:isLgl/>
      <w:lvlText w:val="%1.%2.%3.%4.%5.%6.%7.%8.%9"/>
      <w:lvlJc w:val="left"/>
      <w:pPr>
        <w:ind w:left="3721" w:hanging="2160"/>
      </w:pPr>
      <w:rPr>
        <w:rFonts w:hint="default"/>
      </w:rPr>
    </w:lvl>
  </w:abstractNum>
  <w:abstractNum w:abstractNumId="2">
    <w:nsid w:val="24795D50"/>
    <w:multiLevelType w:val="multilevel"/>
    <w:tmpl w:val="24795D5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2B510BA5"/>
    <w:multiLevelType w:val="multilevel"/>
    <w:tmpl w:val="2B510BA5"/>
    <w:lvl w:ilvl="0" w:tentative="0">
      <w:start w:val="1"/>
      <w:numFmt w:val="chineseCountingThousand"/>
      <w:pStyle w:val="2"/>
      <w:suff w:val="space"/>
      <w:lvlText w:val="第%1章"/>
      <w:lvlJc w:val="left"/>
      <w:pPr>
        <w:ind w:left="425" w:hanging="425"/>
      </w:pPr>
      <w:rPr>
        <w:rFonts w:hint="eastAsia"/>
      </w:rPr>
    </w:lvl>
    <w:lvl w:ilvl="1" w:tentative="0">
      <w:start w:val="1"/>
      <w:numFmt w:val="chineseCountingThousand"/>
      <w:lvlText w:val="%2、"/>
      <w:lvlJc w:val="left"/>
      <w:pPr>
        <w:ind w:left="397" w:firstLine="28"/>
      </w:pPr>
      <w:rPr>
        <w:rFonts w:hint="eastAsia"/>
      </w:rPr>
    </w:lvl>
    <w:lvl w:ilvl="2" w:tentative="0">
      <w:start w:val="1"/>
      <w:numFmt w:val="chineseCountingThousand"/>
      <w:suff w:val="space"/>
      <w:lvlText w:val="（%3）"/>
      <w:lvlJc w:val="left"/>
      <w:pPr>
        <w:ind w:left="964" w:hanging="397"/>
      </w:pPr>
      <w:rPr>
        <w:rFonts w:hint="eastAsia"/>
      </w:rPr>
    </w:lvl>
    <w:lvl w:ilvl="3" w:tentative="0">
      <w:start w:val="1"/>
      <w:numFmt w:val="decimal"/>
      <w:suff w:val="space"/>
      <w:lvlText w:val="%4、"/>
      <w:lvlJc w:val="left"/>
      <w:pPr>
        <w:ind w:left="1531" w:hanging="510"/>
      </w:pPr>
      <w:rPr>
        <w:rFonts w:hint="eastAsia"/>
      </w:rPr>
    </w:lvl>
    <w:lvl w:ilvl="4" w:tentative="0">
      <w:start w:val="1"/>
      <w:numFmt w:val="decimal"/>
      <w:suff w:val="space"/>
      <w:lvlText w:val="（%5）"/>
      <w:lvlJc w:val="left"/>
      <w:pPr>
        <w:ind w:left="1928" w:hanging="1248"/>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1F76A60"/>
    <w:multiLevelType w:val="multilevel"/>
    <w:tmpl w:val="41F76A6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DA450E1"/>
    <w:multiLevelType w:val="multilevel"/>
    <w:tmpl w:val="7DA450E1"/>
    <w:lvl w:ilvl="0" w:tentative="0">
      <w:start w:val="1"/>
      <w:numFmt w:val="chineseCountingThousand"/>
      <w:suff w:val="space"/>
      <w:lvlText w:val="第%1章"/>
      <w:lvlJc w:val="left"/>
      <w:pPr>
        <w:ind w:left="425" w:hanging="425"/>
      </w:pPr>
      <w:rPr>
        <w:rFonts w:hint="eastAsia"/>
      </w:rPr>
    </w:lvl>
    <w:lvl w:ilvl="1" w:tentative="0">
      <w:start w:val="1"/>
      <w:numFmt w:val="chineseCountingThousand"/>
      <w:lvlText w:val="%2、"/>
      <w:lvlJc w:val="left"/>
      <w:pPr>
        <w:ind w:left="397" w:firstLine="28"/>
      </w:pPr>
      <w:rPr>
        <w:rFonts w:hint="eastAsia"/>
      </w:rPr>
    </w:lvl>
    <w:lvl w:ilvl="2" w:tentative="0">
      <w:start w:val="1"/>
      <w:numFmt w:val="chineseCountingThousand"/>
      <w:pStyle w:val="4"/>
      <w:suff w:val="space"/>
      <w:lvlText w:val="（%3）"/>
      <w:lvlJc w:val="left"/>
      <w:pPr>
        <w:ind w:left="823" w:hanging="397"/>
      </w:pPr>
      <w:rPr>
        <w:rFonts w:hint="eastAsia" w:ascii="楷体" w:hAnsi="楷体" w:eastAsia="楷体" w:cs="Times New Roman"/>
        <w:b w:val="0"/>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tentative="0">
      <w:start w:val="1"/>
      <w:numFmt w:val="decimal"/>
      <w:suff w:val="space"/>
      <w:lvlText w:val="%4、"/>
      <w:lvlJc w:val="left"/>
      <w:pPr>
        <w:ind w:left="1531" w:hanging="510"/>
      </w:pPr>
      <w:rPr>
        <w:rFonts w:hint="eastAsia"/>
      </w:rPr>
    </w:lvl>
    <w:lvl w:ilvl="4" w:tentative="0">
      <w:start w:val="1"/>
      <w:numFmt w:val="decimal"/>
      <w:suff w:val="space"/>
      <w:lvlText w:val="（%5）"/>
      <w:lvlJc w:val="left"/>
      <w:pPr>
        <w:ind w:left="1928" w:hanging="1248"/>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3"/>
    <w:lvlOverride w:ilvl="0">
      <w:lvl w:ilvl="0" w:tentative="1">
        <w:start w:val="1"/>
        <w:numFmt w:val="chineseCountingThousand"/>
        <w:lvlText w:val="第%1章"/>
        <w:lvlJc w:val="left"/>
        <w:pPr>
          <w:ind w:left="425" w:hanging="425"/>
        </w:pPr>
        <w:rPr>
          <w:rFonts w:hint="eastAsia"/>
        </w:rPr>
      </w:lvl>
    </w:lvlOverride>
    <w:lvlOverride w:ilvl="1">
      <w:lvl w:ilvl="1" w:tentative="1">
        <w:start w:val="1"/>
        <w:numFmt w:val="chineseCountingThousand"/>
        <w:pStyle w:val="3"/>
        <w:suff w:val="space"/>
        <w:lvlText w:val="%2、"/>
        <w:lvlJc w:val="left"/>
        <w:pPr>
          <w:ind w:left="397" w:firstLine="28"/>
        </w:pPr>
        <w:rPr>
          <w:rFonts w:hint="eastAsia" w:ascii="黑体" w:hAnsi="黑体" w:eastAsia="黑体"/>
          <w:b w:val="0"/>
          <w:bCs w:val="0"/>
          <w:sz w:val="28"/>
        </w:rPr>
      </w:lvl>
    </w:lvlOverride>
    <w:lvlOverride w:ilvl="2">
      <w:lvl w:ilvl="2" w:tentative="1">
        <w:start w:val="1"/>
        <w:numFmt w:val="chineseCountingThousand"/>
        <w:suff w:val="space"/>
        <w:lvlText w:val="（%3）"/>
        <w:lvlJc w:val="left"/>
        <w:pPr>
          <w:ind w:left="964" w:hanging="397"/>
        </w:pPr>
        <w:rPr>
          <w:rFonts w:hint="eastAsia"/>
        </w:rPr>
      </w:lvl>
    </w:lvlOverride>
    <w:lvlOverride w:ilvl="3">
      <w:lvl w:ilvl="3" w:tentative="1">
        <w:start w:val="1"/>
        <w:numFmt w:val="decimal"/>
        <w:suff w:val="space"/>
        <w:lvlText w:val="%4、"/>
        <w:lvlJc w:val="left"/>
        <w:pPr>
          <w:ind w:left="1531" w:hanging="510"/>
        </w:pPr>
        <w:rPr>
          <w:rFonts w:hint="eastAsia"/>
        </w:rPr>
      </w:lvl>
    </w:lvlOverride>
    <w:lvlOverride w:ilvl="4">
      <w:lvl w:ilvl="4" w:tentative="1">
        <w:start w:val="1"/>
        <w:numFmt w:val="decimal"/>
        <w:suff w:val="space"/>
        <w:lvlText w:val="（%5）"/>
        <w:lvlJc w:val="left"/>
        <w:pPr>
          <w:ind w:left="1928" w:hanging="1248"/>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
    <w:abstractNumId w:val="5"/>
  </w:num>
  <w:num w:numId="4">
    <w:abstractNumId w:val="0"/>
  </w:num>
  <w:num w:numId="5">
    <w:abstractNumId w:val="3"/>
    <w:lvlOverride w:ilvl="0">
      <w:lvl w:ilvl="0" w:tentative="1">
        <w:start w:val="1"/>
        <w:numFmt w:val="chineseCountingThousand"/>
        <w:lvlText w:val="第%1章"/>
        <w:lvlJc w:val="left"/>
        <w:pPr>
          <w:ind w:left="425" w:hanging="425"/>
        </w:pPr>
        <w:rPr>
          <w:rFonts w:hint="eastAsia" w:ascii="黑体" w:hAnsi="黑体" w:eastAsia="黑体"/>
          <w:b w:val="0"/>
          <w:bCs w:val="0"/>
        </w:rPr>
      </w:lvl>
    </w:lvlOverride>
    <w:lvlOverride w:ilvl="1">
      <w:lvl w:ilvl="1" w:tentative="1">
        <w:start w:val="1"/>
        <w:numFmt w:val="chineseCountingThousand"/>
        <w:suff w:val="space"/>
        <w:lvlText w:val="%2、"/>
        <w:lvlJc w:val="left"/>
        <w:pPr>
          <w:ind w:left="397" w:firstLine="28"/>
        </w:pPr>
        <w:rPr>
          <w:rFonts w:hint="eastAsia"/>
          <w:sz w:val="28"/>
        </w:rPr>
      </w:lvl>
    </w:lvlOverride>
    <w:lvlOverride w:ilvl="2">
      <w:lvl w:ilvl="2" w:tentative="1">
        <w:start w:val="1"/>
        <w:numFmt w:val="chineseCountingThousand"/>
        <w:suff w:val="space"/>
        <w:lvlText w:val="（%3）"/>
        <w:lvlJc w:val="left"/>
        <w:pPr>
          <w:ind w:left="964" w:hanging="397"/>
        </w:pPr>
        <w:rPr>
          <w:rFonts w:hint="eastAsia"/>
        </w:rPr>
      </w:lvl>
    </w:lvlOverride>
    <w:lvlOverride w:ilvl="3">
      <w:lvl w:ilvl="3" w:tentative="1">
        <w:start w:val="1"/>
        <w:numFmt w:val="decimal"/>
        <w:suff w:val="space"/>
        <w:lvlText w:val="%4、"/>
        <w:lvlJc w:val="left"/>
        <w:pPr>
          <w:ind w:left="1531" w:hanging="510"/>
        </w:pPr>
        <w:rPr>
          <w:rFonts w:hint="eastAsia"/>
        </w:rPr>
      </w:lvl>
    </w:lvlOverride>
    <w:lvlOverride w:ilvl="4">
      <w:lvl w:ilvl="4" w:tentative="1">
        <w:start w:val="1"/>
        <w:numFmt w:val="decimal"/>
        <w:suff w:val="space"/>
        <w:lvlText w:val="（%5）"/>
        <w:lvlJc w:val="left"/>
        <w:pPr>
          <w:ind w:left="1928" w:hanging="1248"/>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kYmY1OGE2YWY5N2ZiNzEyN2QxZjY0YzE0ZjYyNTMifQ=="/>
  </w:docVars>
  <w:rsids>
    <w:rsidRoot w:val="005D1676"/>
    <w:rsid w:val="00000745"/>
    <w:rsid w:val="00003F16"/>
    <w:rsid w:val="00005C00"/>
    <w:rsid w:val="0001358A"/>
    <w:rsid w:val="000144E1"/>
    <w:rsid w:val="000153C2"/>
    <w:rsid w:val="000169A5"/>
    <w:rsid w:val="000260E6"/>
    <w:rsid w:val="000315E7"/>
    <w:rsid w:val="00031EE8"/>
    <w:rsid w:val="00033DE8"/>
    <w:rsid w:val="00035221"/>
    <w:rsid w:val="00035AE7"/>
    <w:rsid w:val="00036C51"/>
    <w:rsid w:val="00040FF1"/>
    <w:rsid w:val="00042599"/>
    <w:rsid w:val="00043780"/>
    <w:rsid w:val="000444E9"/>
    <w:rsid w:val="00045FC5"/>
    <w:rsid w:val="00050CD7"/>
    <w:rsid w:val="00051B88"/>
    <w:rsid w:val="00053F61"/>
    <w:rsid w:val="00056963"/>
    <w:rsid w:val="000600F8"/>
    <w:rsid w:val="000609B5"/>
    <w:rsid w:val="0006277C"/>
    <w:rsid w:val="00062998"/>
    <w:rsid w:val="000673DD"/>
    <w:rsid w:val="000706AA"/>
    <w:rsid w:val="00071810"/>
    <w:rsid w:val="00071A49"/>
    <w:rsid w:val="0007676B"/>
    <w:rsid w:val="00082B93"/>
    <w:rsid w:val="00087564"/>
    <w:rsid w:val="00095940"/>
    <w:rsid w:val="000960ED"/>
    <w:rsid w:val="0009630A"/>
    <w:rsid w:val="000A138A"/>
    <w:rsid w:val="000A6E7B"/>
    <w:rsid w:val="000A71EF"/>
    <w:rsid w:val="000A7768"/>
    <w:rsid w:val="000C08B5"/>
    <w:rsid w:val="000C5B24"/>
    <w:rsid w:val="000C5D87"/>
    <w:rsid w:val="000C68B8"/>
    <w:rsid w:val="000D264F"/>
    <w:rsid w:val="000D53B0"/>
    <w:rsid w:val="000E1753"/>
    <w:rsid w:val="000E17B5"/>
    <w:rsid w:val="000E2F0F"/>
    <w:rsid w:val="000E434E"/>
    <w:rsid w:val="000E675C"/>
    <w:rsid w:val="000F0DB1"/>
    <w:rsid w:val="000F117B"/>
    <w:rsid w:val="000F241F"/>
    <w:rsid w:val="000F28F3"/>
    <w:rsid w:val="000F7930"/>
    <w:rsid w:val="00103046"/>
    <w:rsid w:val="00105354"/>
    <w:rsid w:val="001079BC"/>
    <w:rsid w:val="001128A3"/>
    <w:rsid w:val="00113669"/>
    <w:rsid w:val="00124F1E"/>
    <w:rsid w:val="001252A7"/>
    <w:rsid w:val="00125AF6"/>
    <w:rsid w:val="0013169E"/>
    <w:rsid w:val="001330AE"/>
    <w:rsid w:val="00135F2E"/>
    <w:rsid w:val="00136B50"/>
    <w:rsid w:val="001371C3"/>
    <w:rsid w:val="00142304"/>
    <w:rsid w:val="001446A5"/>
    <w:rsid w:val="00147C1C"/>
    <w:rsid w:val="00154CE1"/>
    <w:rsid w:val="00154F12"/>
    <w:rsid w:val="0015641E"/>
    <w:rsid w:val="00156D3D"/>
    <w:rsid w:val="001628A1"/>
    <w:rsid w:val="00163DA5"/>
    <w:rsid w:val="00164685"/>
    <w:rsid w:val="001671E4"/>
    <w:rsid w:val="00167D06"/>
    <w:rsid w:val="00173415"/>
    <w:rsid w:val="00177C5E"/>
    <w:rsid w:val="00180543"/>
    <w:rsid w:val="001805C2"/>
    <w:rsid w:val="00186457"/>
    <w:rsid w:val="00190239"/>
    <w:rsid w:val="001979FC"/>
    <w:rsid w:val="001A04EB"/>
    <w:rsid w:val="001A3A0C"/>
    <w:rsid w:val="001B2325"/>
    <w:rsid w:val="001B2F26"/>
    <w:rsid w:val="001B347B"/>
    <w:rsid w:val="001B4DE7"/>
    <w:rsid w:val="001B5B28"/>
    <w:rsid w:val="001B67C1"/>
    <w:rsid w:val="001B768D"/>
    <w:rsid w:val="001C17A1"/>
    <w:rsid w:val="001C37EC"/>
    <w:rsid w:val="001C49E2"/>
    <w:rsid w:val="001C4EED"/>
    <w:rsid w:val="001D1654"/>
    <w:rsid w:val="001D5580"/>
    <w:rsid w:val="001E4EDE"/>
    <w:rsid w:val="001E51F1"/>
    <w:rsid w:val="001E532F"/>
    <w:rsid w:val="001E566A"/>
    <w:rsid w:val="001E570B"/>
    <w:rsid w:val="001E6B83"/>
    <w:rsid w:val="001F27EB"/>
    <w:rsid w:val="001F4370"/>
    <w:rsid w:val="001F6D67"/>
    <w:rsid w:val="002044EE"/>
    <w:rsid w:val="00211063"/>
    <w:rsid w:val="00211C87"/>
    <w:rsid w:val="00213152"/>
    <w:rsid w:val="00213CE2"/>
    <w:rsid w:val="0021492C"/>
    <w:rsid w:val="00214B2D"/>
    <w:rsid w:val="00214E43"/>
    <w:rsid w:val="002166D9"/>
    <w:rsid w:val="002242F8"/>
    <w:rsid w:val="002260CA"/>
    <w:rsid w:val="002275F8"/>
    <w:rsid w:val="00227C3E"/>
    <w:rsid w:val="00234147"/>
    <w:rsid w:val="00236002"/>
    <w:rsid w:val="00241DEC"/>
    <w:rsid w:val="0024598E"/>
    <w:rsid w:val="0025119D"/>
    <w:rsid w:val="00252A3B"/>
    <w:rsid w:val="002579C5"/>
    <w:rsid w:val="00260CD5"/>
    <w:rsid w:val="0026643F"/>
    <w:rsid w:val="002719BD"/>
    <w:rsid w:val="00273B36"/>
    <w:rsid w:val="00273E9F"/>
    <w:rsid w:val="00284927"/>
    <w:rsid w:val="00284D61"/>
    <w:rsid w:val="00284DD7"/>
    <w:rsid w:val="00286765"/>
    <w:rsid w:val="002875C0"/>
    <w:rsid w:val="002938E8"/>
    <w:rsid w:val="00296E0C"/>
    <w:rsid w:val="002A00A2"/>
    <w:rsid w:val="002A21EC"/>
    <w:rsid w:val="002A4821"/>
    <w:rsid w:val="002A48C0"/>
    <w:rsid w:val="002B003D"/>
    <w:rsid w:val="002B18DE"/>
    <w:rsid w:val="002B46ED"/>
    <w:rsid w:val="002B5DE4"/>
    <w:rsid w:val="002C0EFB"/>
    <w:rsid w:val="002C34AA"/>
    <w:rsid w:val="002C3518"/>
    <w:rsid w:val="002D23CF"/>
    <w:rsid w:val="002D2ABB"/>
    <w:rsid w:val="002D6001"/>
    <w:rsid w:val="002D7815"/>
    <w:rsid w:val="002E04CE"/>
    <w:rsid w:val="002E1D8A"/>
    <w:rsid w:val="002F22CF"/>
    <w:rsid w:val="00300CED"/>
    <w:rsid w:val="003048B5"/>
    <w:rsid w:val="00307DA4"/>
    <w:rsid w:val="00310A8B"/>
    <w:rsid w:val="00313207"/>
    <w:rsid w:val="003136D0"/>
    <w:rsid w:val="0031561B"/>
    <w:rsid w:val="00317BF5"/>
    <w:rsid w:val="003228FF"/>
    <w:rsid w:val="00322FAE"/>
    <w:rsid w:val="003246B5"/>
    <w:rsid w:val="00326D4A"/>
    <w:rsid w:val="00331F91"/>
    <w:rsid w:val="0033460E"/>
    <w:rsid w:val="00337F5B"/>
    <w:rsid w:val="00340128"/>
    <w:rsid w:val="003438DB"/>
    <w:rsid w:val="00345DBF"/>
    <w:rsid w:val="00350821"/>
    <w:rsid w:val="003514C9"/>
    <w:rsid w:val="0035397D"/>
    <w:rsid w:val="00353AE1"/>
    <w:rsid w:val="003566C3"/>
    <w:rsid w:val="003572F7"/>
    <w:rsid w:val="003607D0"/>
    <w:rsid w:val="0037100E"/>
    <w:rsid w:val="0037298E"/>
    <w:rsid w:val="003745A6"/>
    <w:rsid w:val="00375497"/>
    <w:rsid w:val="00377AC0"/>
    <w:rsid w:val="00380859"/>
    <w:rsid w:val="00382368"/>
    <w:rsid w:val="0038381B"/>
    <w:rsid w:val="00384C75"/>
    <w:rsid w:val="00385716"/>
    <w:rsid w:val="00386A27"/>
    <w:rsid w:val="0038700A"/>
    <w:rsid w:val="0039201C"/>
    <w:rsid w:val="003A51AE"/>
    <w:rsid w:val="003A6716"/>
    <w:rsid w:val="003B1589"/>
    <w:rsid w:val="003B17F6"/>
    <w:rsid w:val="003B669E"/>
    <w:rsid w:val="003B795F"/>
    <w:rsid w:val="003C17CF"/>
    <w:rsid w:val="003D081E"/>
    <w:rsid w:val="003D4E7A"/>
    <w:rsid w:val="003E33B8"/>
    <w:rsid w:val="003E622E"/>
    <w:rsid w:val="003E65F6"/>
    <w:rsid w:val="003F15DA"/>
    <w:rsid w:val="003F3546"/>
    <w:rsid w:val="004031A0"/>
    <w:rsid w:val="00415D17"/>
    <w:rsid w:val="00420094"/>
    <w:rsid w:val="0042015C"/>
    <w:rsid w:val="00424B61"/>
    <w:rsid w:val="0042554E"/>
    <w:rsid w:val="00430C20"/>
    <w:rsid w:val="0043560C"/>
    <w:rsid w:val="00436BFF"/>
    <w:rsid w:val="00440107"/>
    <w:rsid w:val="00443B93"/>
    <w:rsid w:val="00445A9D"/>
    <w:rsid w:val="00445D46"/>
    <w:rsid w:val="00454A23"/>
    <w:rsid w:val="0047098A"/>
    <w:rsid w:val="004726F4"/>
    <w:rsid w:val="00474D9E"/>
    <w:rsid w:val="00476528"/>
    <w:rsid w:val="00482985"/>
    <w:rsid w:val="00483C7E"/>
    <w:rsid w:val="0048447B"/>
    <w:rsid w:val="004866E2"/>
    <w:rsid w:val="004871AB"/>
    <w:rsid w:val="00495F0E"/>
    <w:rsid w:val="004A124B"/>
    <w:rsid w:val="004B0C12"/>
    <w:rsid w:val="004B3FAF"/>
    <w:rsid w:val="004C6168"/>
    <w:rsid w:val="004C7699"/>
    <w:rsid w:val="004D20DF"/>
    <w:rsid w:val="004D40A1"/>
    <w:rsid w:val="004D5037"/>
    <w:rsid w:val="004D6DDC"/>
    <w:rsid w:val="004E1EDC"/>
    <w:rsid w:val="004E2E73"/>
    <w:rsid w:val="004E6F6C"/>
    <w:rsid w:val="004E78E4"/>
    <w:rsid w:val="004F652B"/>
    <w:rsid w:val="004F7F22"/>
    <w:rsid w:val="00500ACC"/>
    <w:rsid w:val="00501A13"/>
    <w:rsid w:val="005111C1"/>
    <w:rsid w:val="0051747A"/>
    <w:rsid w:val="00517C1D"/>
    <w:rsid w:val="00522244"/>
    <w:rsid w:val="00522438"/>
    <w:rsid w:val="00523A9B"/>
    <w:rsid w:val="00524CF1"/>
    <w:rsid w:val="00527E1D"/>
    <w:rsid w:val="00531097"/>
    <w:rsid w:val="00540B72"/>
    <w:rsid w:val="00546940"/>
    <w:rsid w:val="00551868"/>
    <w:rsid w:val="005534D9"/>
    <w:rsid w:val="005556E8"/>
    <w:rsid w:val="0055655A"/>
    <w:rsid w:val="005633C5"/>
    <w:rsid w:val="005635F5"/>
    <w:rsid w:val="005645EB"/>
    <w:rsid w:val="00567B36"/>
    <w:rsid w:val="005714D8"/>
    <w:rsid w:val="005738AA"/>
    <w:rsid w:val="00575D45"/>
    <w:rsid w:val="00576122"/>
    <w:rsid w:val="005772E5"/>
    <w:rsid w:val="005820DF"/>
    <w:rsid w:val="00585E1E"/>
    <w:rsid w:val="005878A0"/>
    <w:rsid w:val="00595148"/>
    <w:rsid w:val="00595716"/>
    <w:rsid w:val="00596509"/>
    <w:rsid w:val="005972CE"/>
    <w:rsid w:val="005A20D6"/>
    <w:rsid w:val="005A245A"/>
    <w:rsid w:val="005A688B"/>
    <w:rsid w:val="005A72C9"/>
    <w:rsid w:val="005B021E"/>
    <w:rsid w:val="005B6B26"/>
    <w:rsid w:val="005B79F5"/>
    <w:rsid w:val="005B7FDC"/>
    <w:rsid w:val="005C0A54"/>
    <w:rsid w:val="005C3EB1"/>
    <w:rsid w:val="005C51D5"/>
    <w:rsid w:val="005D0CF2"/>
    <w:rsid w:val="005D1676"/>
    <w:rsid w:val="005D66E6"/>
    <w:rsid w:val="005E1272"/>
    <w:rsid w:val="005F0A4B"/>
    <w:rsid w:val="005F0D22"/>
    <w:rsid w:val="00600673"/>
    <w:rsid w:val="00600B96"/>
    <w:rsid w:val="00601CA1"/>
    <w:rsid w:val="00602CE4"/>
    <w:rsid w:val="00604D32"/>
    <w:rsid w:val="00614024"/>
    <w:rsid w:val="00620168"/>
    <w:rsid w:val="006239B2"/>
    <w:rsid w:val="00625130"/>
    <w:rsid w:val="00626A89"/>
    <w:rsid w:val="006272B9"/>
    <w:rsid w:val="00627431"/>
    <w:rsid w:val="00627638"/>
    <w:rsid w:val="00630B5C"/>
    <w:rsid w:val="006325C4"/>
    <w:rsid w:val="00633501"/>
    <w:rsid w:val="00636AD3"/>
    <w:rsid w:val="00637816"/>
    <w:rsid w:val="0064262E"/>
    <w:rsid w:val="00645FBF"/>
    <w:rsid w:val="0064620A"/>
    <w:rsid w:val="00650B82"/>
    <w:rsid w:val="0065171B"/>
    <w:rsid w:val="00652E1C"/>
    <w:rsid w:val="00655C77"/>
    <w:rsid w:val="00666BA7"/>
    <w:rsid w:val="00666F55"/>
    <w:rsid w:val="00672295"/>
    <w:rsid w:val="00672EF0"/>
    <w:rsid w:val="00676513"/>
    <w:rsid w:val="006774A0"/>
    <w:rsid w:val="00677AA4"/>
    <w:rsid w:val="00680D7B"/>
    <w:rsid w:val="00684975"/>
    <w:rsid w:val="00686A9E"/>
    <w:rsid w:val="00686BB2"/>
    <w:rsid w:val="006902DB"/>
    <w:rsid w:val="0069362E"/>
    <w:rsid w:val="00696A65"/>
    <w:rsid w:val="006A3FDF"/>
    <w:rsid w:val="006A41B5"/>
    <w:rsid w:val="006D13F3"/>
    <w:rsid w:val="006D38BD"/>
    <w:rsid w:val="006D3960"/>
    <w:rsid w:val="006D4275"/>
    <w:rsid w:val="006D48E9"/>
    <w:rsid w:val="006D5036"/>
    <w:rsid w:val="006D67DC"/>
    <w:rsid w:val="006E1152"/>
    <w:rsid w:val="006E17F3"/>
    <w:rsid w:val="006E1A40"/>
    <w:rsid w:val="006E1B08"/>
    <w:rsid w:val="006E32A4"/>
    <w:rsid w:val="006F050C"/>
    <w:rsid w:val="007010E5"/>
    <w:rsid w:val="007037CB"/>
    <w:rsid w:val="007050E4"/>
    <w:rsid w:val="00710620"/>
    <w:rsid w:val="007108FD"/>
    <w:rsid w:val="007111D8"/>
    <w:rsid w:val="007150CB"/>
    <w:rsid w:val="007152EC"/>
    <w:rsid w:val="007215D0"/>
    <w:rsid w:val="00722E93"/>
    <w:rsid w:val="007302B2"/>
    <w:rsid w:val="00730FB7"/>
    <w:rsid w:val="00732922"/>
    <w:rsid w:val="007342A6"/>
    <w:rsid w:val="00735499"/>
    <w:rsid w:val="00741920"/>
    <w:rsid w:val="0074297D"/>
    <w:rsid w:val="00752E09"/>
    <w:rsid w:val="00757350"/>
    <w:rsid w:val="00757D6E"/>
    <w:rsid w:val="007601EF"/>
    <w:rsid w:val="00771293"/>
    <w:rsid w:val="007721B5"/>
    <w:rsid w:val="00774B97"/>
    <w:rsid w:val="00781DE4"/>
    <w:rsid w:val="00785962"/>
    <w:rsid w:val="00785EB8"/>
    <w:rsid w:val="00786A1F"/>
    <w:rsid w:val="007873C0"/>
    <w:rsid w:val="007879BA"/>
    <w:rsid w:val="00787CF1"/>
    <w:rsid w:val="0079441A"/>
    <w:rsid w:val="00795FA5"/>
    <w:rsid w:val="00796A21"/>
    <w:rsid w:val="007A35F2"/>
    <w:rsid w:val="007A3863"/>
    <w:rsid w:val="007A70BF"/>
    <w:rsid w:val="007B0738"/>
    <w:rsid w:val="007B18DE"/>
    <w:rsid w:val="007B39B1"/>
    <w:rsid w:val="007B799E"/>
    <w:rsid w:val="007B7E91"/>
    <w:rsid w:val="007C362D"/>
    <w:rsid w:val="007C753E"/>
    <w:rsid w:val="007D0AB2"/>
    <w:rsid w:val="007D12AF"/>
    <w:rsid w:val="007D15AF"/>
    <w:rsid w:val="007D42EE"/>
    <w:rsid w:val="007D7447"/>
    <w:rsid w:val="007D7B8A"/>
    <w:rsid w:val="007E0B16"/>
    <w:rsid w:val="007E0E32"/>
    <w:rsid w:val="007E27EE"/>
    <w:rsid w:val="007E6A98"/>
    <w:rsid w:val="007F07C9"/>
    <w:rsid w:val="007F1078"/>
    <w:rsid w:val="007F59B5"/>
    <w:rsid w:val="007F696C"/>
    <w:rsid w:val="00800050"/>
    <w:rsid w:val="008016C8"/>
    <w:rsid w:val="008022E7"/>
    <w:rsid w:val="00804C5C"/>
    <w:rsid w:val="008172B8"/>
    <w:rsid w:val="00817C65"/>
    <w:rsid w:val="008201D4"/>
    <w:rsid w:val="008249CB"/>
    <w:rsid w:val="00826A1D"/>
    <w:rsid w:val="008329D2"/>
    <w:rsid w:val="00833C0C"/>
    <w:rsid w:val="00844FFB"/>
    <w:rsid w:val="00846D92"/>
    <w:rsid w:val="00850513"/>
    <w:rsid w:val="00852162"/>
    <w:rsid w:val="008571F5"/>
    <w:rsid w:val="00862FDD"/>
    <w:rsid w:val="00865F19"/>
    <w:rsid w:val="00867037"/>
    <w:rsid w:val="0087146E"/>
    <w:rsid w:val="00873A4B"/>
    <w:rsid w:val="008762DA"/>
    <w:rsid w:val="008824B2"/>
    <w:rsid w:val="008829A3"/>
    <w:rsid w:val="00883200"/>
    <w:rsid w:val="00883220"/>
    <w:rsid w:val="00883A74"/>
    <w:rsid w:val="008876CF"/>
    <w:rsid w:val="008908DB"/>
    <w:rsid w:val="008A0A71"/>
    <w:rsid w:val="008A14DF"/>
    <w:rsid w:val="008A2EAC"/>
    <w:rsid w:val="008A73D5"/>
    <w:rsid w:val="008B0588"/>
    <w:rsid w:val="008B0BEE"/>
    <w:rsid w:val="008B4123"/>
    <w:rsid w:val="008C0C24"/>
    <w:rsid w:val="008C4626"/>
    <w:rsid w:val="008C4D4C"/>
    <w:rsid w:val="008C552A"/>
    <w:rsid w:val="008D1596"/>
    <w:rsid w:val="008D5701"/>
    <w:rsid w:val="008E2374"/>
    <w:rsid w:val="008E7D5E"/>
    <w:rsid w:val="008F2F7E"/>
    <w:rsid w:val="00900F08"/>
    <w:rsid w:val="00905FEC"/>
    <w:rsid w:val="00914C78"/>
    <w:rsid w:val="00915B5C"/>
    <w:rsid w:val="009210B2"/>
    <w:rsid w:val="00922FDD"/>
    <w:rsid w:val="0092369A"/>
    <w:rsid w:val="0092491F"/>
    <w:rsid w:val="0093184F"/>
    <w:rsid w:val="00935039"/>
    <w:rsid w:val="00944DA2"/>
    <w:rsid w:val="00951E5D"/>
    <w:rsid w:val="00954F01"/>
    <w:rsid w:val="00955FA2"/>
    <w:rsid w:val="00960A19"/>
    <w:rsid w:val="00964315"/>
    <w:rsid w:val="00972055"/>
    <w:rsid w:val="00974963"/>
    <w:rsid w:val="00975930"/>
    <w:rsid w:val="00984EAB"/>
    <w:rsid w:val="00985949"/>
    <w:rsid w:val="00990804"/>
    <w:rsid w:val="00995991"/>
    <w:rsid w:val="00995FA3"/>
    <w:rsid w:val="00997C83"/>
    <w:rsid w:val="009A0BA7"/>
    <w:rsid w:val="009A0C9A"/>
    <w:rsid w:val="009A4147"/>
    <w:rsid w:val="009A4148"/>
    <w:rsid w:val="009A65A9"/>
    <w:rsid w:val="009B2387"/>
    <w:rsid w:val="009B391F"/>
    <w:rsid w:val="009B58B5"/>
    <w:rsid w:val="009B7BD6"/>
    <w:rsid w:val="009C11B7"/>
    <w:rsid w:val="009C78F3"/>
    <w:rsid w:val="009D140C"/>
    <w:rsid w:val="009D5FAD"/>
    <w:rsid w:val="009D62E4"/>
    <w:rsid w:val="009E0048"/>
    <w:rsid w:val="009E7EF1"/>
    <w:rsid w:val="009E7FF3"/>
    <w:rsid w:val="009F03D7"/>
    <w:rsid w:val="009F5578"/>
    <w:rsid w:val="009F663F"/>
    <w:rsid w:val="009F6D34"/>
    <w:rsid w:val="00A00137"/>
    <w:rsid w:val="00A01975"/>
    <w:rsid w:val="00A11EB6"/>
    <w:rsid w:val="00A1263D"/>
    <w:rsid w:val="00A1273A"/>
    <w:rsid w:val="00A14707"/>
    <w:rsid w:val="00A16286"/>
    <w:rsid w:val="00A16FE5"/>
    <w:rsid w:val="00A17CA2"/>
    <w:rsid w:val="00A20974"/>
    <w:rsid w:val="00A21611"/>
    <w:rsid w:val="00A22357"/>
    <w:rsid w:val="00A24D3B"/>
    <w:rsid w:val="00A30ECA"/>
    <w:rsid w:val="00A34016"/>
    <w:rsid w:val="00A343EE"/>
    <w:rsid w:val="00A35396"/>
    <w:rsid w:val="00A376FA"/>
    <w:rsid w:val="00A37A8A"/>
    <w:rsid w:val="00A415C8"/>
    <w:rsid w:val="00A41BAB"/>
    <w:rsid w:val="00A571D7"/>
    <w:rsid w:val="00A6014C"/>
    <w:rsid w:val="00A66E79"/>
    <w:rsid w:val="00A670FD"/>
    <w:rsid w:val="00A702AF"/>
    <w:rsid w:val="00A74F3E"/>
    <w:rsid w:val="00A761BB"/>
    <w:rsid w:val="00A8226D"/>
    <w:rsid w:val="00A82EC9"/>
    <w:rsid w:val="00A83358"/>
    <w:rsid w:val="00A83F0D"/>
    <w:rsid w:val="00A90713"/>
    <w:rsid w:val="00A90CAA"/>
    <w:rsid w:val="00A91072"/>
    <w:rsid w:val="00A91B65"/>
    <w:rsid w:val="00A93763"/>
    <w:rsid w:val="00AA4FE0"/>
    <w:rsid w:val="00AB7590"/>
    <w:rsid w:val="00AB7A0F"/>
    <w:rsid w:val="00AC23FB"/>
    <w:rsid w:val="00AD3331"/>
    <w:rsid w:val="00AD4C4C"/>
    <w:rsid w:val="00AE1455"/>
    <w:rsid w:val="00AE4184"/>
    <w:rsid w:val="00AE4A13"/>
    <w:rsid w:val="00AF1A0F"/>
    <w:rsid w:val="00B07516"/>
    <w:rsid w:val="00B07766"/>
    <w:rsid w:val="00B10034"/>
    <w:rsid w:val="00B117DD"/>
    <w:rsid w:val="00B12BE6"/>
    <w:rsid w:val="00B1655E"/>
    <w:rsid w:val="00B327BF"/>
    <w:rsid w:val="00B32869"/>
    <w:rsid w:val="00B36456"/>
    <w:rsid w:val="00B37FCC"/>
    <w:rsid w:val="00B41EC1"/>
    <w:rsid w:val="00B456A0"/>
    <w:rsid w:val="00B47255"/>
    <w:rsid w:val="00B47974"/>
    <w:rsid w:val="00B50FB5"/>
    <w:rsid w:val="00B54A13"/>
    <w:rsid w:val="00B55CC9"/>
    <w:rsid w:val="00B56B99"/>
    <w:rsid w:val="00B6341B"/>
    <w:rsid w:val="00B643EF"/>
    <w:rsid w:val="00B656A6"/>
    <w:rsid w:val="00B663C0"/>
    <w:rsid w:val="00B676FC"/>
    <w:rsid w:val="00B701AA"/>
    <w:rsid w:val="00B71EC1"/>
    <w:rsid w:val="00B72287"/>
    <w:rsid w:val="00B75095"/>
    <w:rsid w:val="00B86867"/>
    <w:rsid w:val="00B9462B"/>
    <w:rsid w:val="00B94D57"/>
    <w:rsid w:val="00B95DF3"/>
    <w:rsid w:val="00BA010E"/>
    <w:rsid w:val="00BA08B3"/>
    <w:rsid w:val="00BA17C4"/>
    <w:rsid w:val="00BA2CD4"/>
    <w:rsid w:val="00BA3597"/>
    <w:rsid w:val="00BA41B7"/>
    <w:rsid w:val="00BA541B"/>
    <w:rsid w:val="00BA5EA0"/>
    <w:rsid w:val="00BB000B"/>
    <w:rsid w:val="00BB6585"/>
    <w:rsid w:val="00BB6AFF"/>
    <w:rsid w:val="00BC4360"/>
    <w:rsid w:val="00BC4466"/>
    <w:rsid w:val="00BC5C71"/>
    <w:rsid w:val="00BC5D7F"/>
    <w:rsid w:val="00BD24F2"/>
    <w:rsid w:val="00BD6121"/>
    <w:rsid w:val="00BD7FB2"/>
    <w:rsid w:val="00BE3320"/>
    <w:rsid w:val="00BF0558"/>
    <w:rsid w:val="00C02DD6"/>
    <w:rsid w:val="00C04902"/>
    <w:rsid w:val="00C11DA1"/>
    <w:rsid w:val="00C17E31"/>
    <w:rsid w:val="00C52EAC"/>
    <w:rsid w:val="00C549F4"/>
    <w:rsid w:val="00C55814"/>
    <w:rsid w:val="00C55A35"/>
    <w:rsid w:val="00C57497"/>
    <w:rsid w:val="00C579D1"/>
    <w:rsid w:val="00C60396"/>
    <w:rsid w:val="00C61161"/>
    <w:rsid w:val="00C612CC"/>
    <w:rsid w:val="00C6232D"/>
    <w:rsid w:val="00C639B2"/>
    <w:rsid w:val="00C6438A"/>
    <w:rsid w:val="00C71FA9"/>
    <w:rsid w:val="00C724B3"/>
    <w:rsid w:val="00C72556"/>
    <w:rsid w:val="00C7429F"/>
    <w:rsid w:val="00C75EB7"/>
    <w:rsid w:val="00C8398E"/>
    <w:rsid w:val="00C84FB4"/>
    <w:rsid w:val="00C85804"/>
    <w:rsid w:val="00C9003B"/>
    <w:rsid w:val="00C90B83"/>
    <w:rsid w:val="00C9432E"/>
    <w:rsid w:val="00C94758"/>
    <w:rsid w:val="00CA09D2"/>
    <w:rsid w:val="00CA25A6"/>
    <w:rsid w:val="00CA4572"/>
    <w:rsid w:val="00CA6AFA"/>
    <w:rsid w:val="00CB12F2"/>
    <w:rsid w:val="00CB66A0"/>
    <w:rsid w:val="00CC46E2"/>
    <w:rsid w:val="00CD15FF"/>
    <w:rsid w:val="00CD16D5"/>
    <w:rsid w:val="00CD1D52"/>
    <w:rsid w:val="00CD513D"/>
    <w:rsid w:val="00CD5825"/>
    <w:rsid w:val="00CD6B20"/>
    <w:rsid w:val="00CE0F22"/>
    <w:rsid w:val="00CE6F4C"/>
    <w:rsid w:val="00CE7800"/>
    <w:rsid w:val="00CE798D"/>
    <w:rsid w:val="00CF0543"/>
    <w:rsid w:val="00CF07AA"/>
    <w:rsid w:val="00CF1980"/>
    <w:rsid w:val="00CF551A"/>
    <w:rsid w:val="00CF5B69"/>
    <w:rsid w:val="00D00FE3"/>
    <w:rsid w:val="00D02E7A"/>
    <w:rsid w:val="00D04D9A"/>
    <w:rsid w:val="00D12DD1"/>
    <w:rsid w:val="00D172FF"/>
    <w:rsid w:val="00D17AA0"/>
    <w:rsid w:val="00D20EEE"/>
    <w:rsid w:val="00D2658B"/>
    <w:rsid w:val="00D30377"/>
    <w:rsid w:val="00D31397"/>
    <w:rsid w:val="00D349BB"/>
    <w:rsid w:val="00D4630E"/>
    <w:rsid w:val="00D464F9"/>
    <w:rsid w:val="00D47A51"/>
    <w:rsid w:val="00D47DD9"/>
    <w:rsid w:val="00D5003B"/>
    <w:rsid w:val="00D51063"/>
    <w:rsid w:val="00D53DAB"/>
    <w:rsid w:val="00D56484"/>
    <w:rsid w:val="00D5706E"/>
    <w:rsid w:val="00D57EC9"/>
    <w:rsid w:val="00D625E0"/>
    <w:rsid w:val="00D62A48"/>
    <w:rsid w:val="00D63ACF"/>
    <w:rsid w:val="00D715E6"/>
    <w:rsid w:val="00D7166A"/>
    <w:rsid w:val="00D7386C"/>
    <w:rsid w:val="00D756D4"/>
    <w:rsid w:val="00D80F2B"/>
    <w:rsid w:val="00D8197C"/>
    <w:rsid w:val="00D83B4C"/>
    <w:rsid w:val="00D85329"/>
    <w:rsid w:val="00D86CC4"/>
    <w:rsid w:val="00D9013A"/>
    <w:rsid w:val="00D9180F"/>
    <w:rsid w:val="00DA0CED"/>
    <w:rsid w:val="00DA547D"/>
    <w:rsid w:val="00DB4E82"/>
    <w:rsid w:val="00DB7192"/>
    <w:rsid w:val="00DC4177"/>
    <w:rsid w:val="00DC454A"/>
    <w:rsid w:val="00DD005D"/>
    <w:rsid w:val="00DD38C5"/>
    <w:rsid w:val="00DE4C69"/>
    <w:rsid w:val="00DE4D15"/>
    <w:rsid w:val="00DF07E9"/>
    <w:rsid w:val="00DF0C26"/>
    <w:rsid w:val="00DF3225"/>
    <w:rsid w:val="00DF7B97"/>
    <w:rsid w:val="00E0356C"/>
    <w:rsid w:val="00E06863"/>
    <w:rsid w:val="00E06F81"/>
    <w:rsid w:val="00E0738C"/>
    <w:rsid w:val="00E100CD"/>
    <w:rsid w:val="00E13578"/>
    <w:rsid w:val="00E143DC"/>
    <w:rsid w:val="00E163C5"/>
    <w:rsid w:val="00E21B98"/>
    <w:rsid w:val="00E25124"/>
    <w:rsid w:val="00E27994"/>
    <w:rsid w:val="00E34F56"/>
    <w:rsid w:val="00E37584"/>
    <w:rsid w:val="00E42F7D"/>
    <w:rsid w:val="00E549B4"/>
    <w:rsid w:val="00E54A08"/>
    <w:rsid w:val="00E55860"/>
    <w:rsid w:val="00E569E1"/>
    <w:rsid w:val="00E56C2C"/>
    <w:rsid w:val="00E65185"/>
    <w:rsid w:val="00E76CBE"/>
    <w:rsid w:val="00E8038F"/>
    <w:rsid w:val="00E876B3"/>
    <w:rsid w:val="00E90460"/>
    <w:rsid w:val="00E9062C"/>
    <w:rsid w:val="00EA1B1A"/>
    <w:rsid w:val="00EA3365"/>
    <w:rsid w:val="00EA452F"/>
    <w:rsid w:val="00EA47E0"/>
    <w:rsid w:val="00EB1070"/>
    <w:rsid w:val="00EB25D3"/>
    <w:rsid w:val="00EB4961"/>
    <w:rsid w:val="00EB4C34"/>
    <w:rsid w:val="00EB53AE"/>
    <w:rsid w:val="00EB6C89"/>
    <w:rsid w:val="00EC1E1C"/>
    <w:rsid w:val="00EC3482"/>
    <w:rsid w:val="00ED06BC"/>
    <w:rsid w:val="00ED26FE"/>
    <w:rsid w:val="00ED3FF7"/>
    <w:rsid w:val="00ED4429"/>
    <w:rsid w:val="00ED456B"/>
    <w:rsid w:val="00EE3B64"/>
    <w:rsid w:val="00EE4917"/>
    <w:rsid w:val="00EF58AD"/>
    <w:rsid w:val="00EF7595"/>
    <w:rsid w:val="00F041FD"/>
    <w:rsid w:val="00F0439B"/>
    <w:rsid w:val="00F12449"/>
    <w:rsid w:val="00F12979"/>
    <w:rsid w:val="00F14FE2"/>
    <w:rsid w:val="00F23486"/>
    <w:rsid w:val="00F269C8"/>
    <w:rsid w:val="00F27AA4"/>
    <w:rsid w:val="00F336DA"/>
    <w:rsid w:val="00F339FF"/>
    <w:rsid w:val="00F357BB"/>
    <w:rsid w:val="00F37963"/>
    <w:rsid w:val="00F40D43"/>
    <w:rsid w:val="00F414DD"/>
    <w:rsid w:val="00F433E7"/>
    <w:rsid w:val="00F515AB"/>
    <w:rsid w:val="00F54904"/>
    <w:rsid w:val="00F55533"/>
    <w:rsid w:val="00F60B99"/>
    <w:rsid w:val="00F63084"/>
    <w:rsid w:val="00F6718C"/>
    <w:rsid w:val="00F720D6"/>
    <w:rsid w:val="00F72110"/>
    <w:rsid w:val="00F72CD6"/>
    <w:rsid w:val="00F74244"/>
    <w:rsid w:val="00F747E9"/>
    <w:rsid w:val="00F7548C"/>
    <w:rsid w:val="00F77809"/>
    <w:rsid w:val="00F809C0"/>
    <w:rsid w:val="00F826D3"/>
    <w:rsid w:val="00F82C3A"/>
    <w:rsid w:val="00F870CC"/>
    <w:rsid w:val="00F8776E"/>
    <w:rsid w:val="00F87D1B"/>
    <w:rsid w:val="00F91A91"/>
    <w:rsid w:val="00F94738"/>
    <w:rsid w:val="00F95378"/>
    <w:rsid w:val="00FA0BEC"/>
    <w:rsid w:val="00FB1F84"/>
    <w:rsid w:val="00FB6278"/>
    <w:rsid w:val="00FC4273"/>
    <w:rsid w:val="00FC57EA"/>
    <w:rsid w:val="00FC62A4"/>
    <w:rsid w:val="00FD12F1"/>
    <w:rsid w:val="00FD19D7"/>
    <w:rsid w:val="00FD306D"/>
    <w:rsid w:val="00FD3E84"/>
    <w:rsid w:val="00FE44B1"/>
    <w:rsid w:val="00FE681C"/>
    <w:rsid w:val="00FE7B4F"/>
    <w:rsid w:val="00FF0230"/>
    <w:rsid w:val="00FF4844"/>
    <w:rsid w:val="00FF54B1"/>
    <w:rsid w:val="05BE74E2"/>
    <w:rsid w:val="1267280E"/>
    <w:rsid w:val="27282374"/>
    <w:rsid w:val="475F15CF"/>
    <w:rsid w:val="4BCE58F6"/>
    <w:rsid w:val="642B1F23"/>
    <w:rsid w:val="711E45F4"/>
    <w:rsid w:val="732E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line="312" w:lineRule="auto"/>
      <w:ind w:firstLine="480" w:firstLineChars="200"/>
      <w:jc w:val="both"/>
    </w:pPr>
    <w:rPr>
      <w:rFonts w:ascii="仿宋" w:hAnsi="仿宋" w:eastAsia="仿宋" w:cs="Times New Roman"/>
      <w:kern w:val="1"/>
      <w:sz w:val="24"/>
      <w:szCs w:val="20"/>
      <w:lang w:val="en-US" w:eastAsia="zh-CN" w:bidi="ar-SA"/>
    </w:rPr>
  </w:style>
  <w:style w:type="paragraph" w:styleId="2">
    <w:name w:val="heading 1"/>
    <w:basedOn w:val="1"/>
    <w:next w:val="1"/>
    <w:link w:val="27"/>
    <w:qFormat/>
    <w:uiPriority w:val="9"/>
    <w:pPr>
      <w:keepNext/>
      <w:pageBreakBefore/>
      <w:numPr>
        <w:ilvl w:val="0"/>
        <w:numId w:val="1"/>
      </w:numPr>
      <w:ind w:firstLine="0" w:firstLineChars="0"/>
      <w:jc w:val="center"/>
      <w:outlineLvl w:val="0"/>
    </w:pPr>
    <w:rPr>
      <w:b/>
      <w:bCs/>
      <w:sz w:val="28"/>
    </w:rPr>
  </w:style>
  <w:style w:type="paragraph" w:styleId="3">
    <w:name w:val="heading 2"/>
    <w:basedOn w:val="1"/>
    <w:next w:val="1"/>
    <w:link w:val="28"/>
    <w:unhideWhenUsed/>
    <w:qFormat/>
    <w:uiPriority w:val="9"/>
    <w:pPr>
      <w:numPr>
        <w:ilvl w:val="1"/>
        <w:numId w:val="2"/>
      </w:numPr>
      <w:ind w:firstLine="0" w:firstLineChars="0"/>
      <w:outlineLvl w:val="1"/>
    </w:pPr>
    <w:rPr>
      <w:sz w:val="28"/>
      <w:szCs w:val="21"/>
    </w:rPr>
  </w:style>
  <w:style w:type="paragraph" w:styleId="4">
    <w:name w:val="heading 3"/>
    <w:basedOn w:val="1"/>
    <w:next w:val="1"/>
    <w:link w:val="29"/>
    <w:unhideWhenUsed/>
    <w:qFormat/>
    <w:uiPriority w:val="9"/>
    <w:pPr>
      <w:keepNext/>
      <w:keepLines/>
      <w:numPr>
        <w:ilvl w:val="2"/>
        <w:numId w:val="3"/>
      </w:numPr>
      <w:spacing w:before="156" w:beforeLines="50"/>
      <w:ind w:firstLine="0" w:firstLineChars="0"/>
      <w:jc w:val="left"/>
      <w:outlineLvl w:val="2"/>
    </w:pPr>
    <w:rPr>
      <w:b/>
    </w:rPr>
  </w:style>
  <w:style w:type="paragraph" w:styleId="5">
    <w:name w:val="heading 4"/>
    <w:basedOn w:val="1"/>
    <w:next w:val="1"/>
    <w:link w:val="30"/>
    <w:unhideWhenUsed/>
    <w:qFormat/>
    <w:uiPriority w:val="9"/>
    <w:pPr>
      <w:keepNext/>
      <w:keepLines/>
      <w:numPr>
        <w:ilvl w:val="3"/>
        <w:numId w:val="4"/>
      </w:numPr>
      <w:spacing w:before="120"/>
      <w:ind w:firstLine="0" w:firstLineChars="0"/>
      <w:outlineLvl w:val="3"/>
    </w:pPr>
    <w:rPr>
      <w:rFonts w:ascii="宋体" w:hAnsi="宋体" w:cstheme="majorBidi"/>
      <w:b/>
      <w:bCs/>
      <w:szCs w:val="28"/>
    </w:rPr>
  </w:style>
  <w:style w:type="paragraph" w:styleId="6">
    <w:name w:val="heading 5"/>
    <w:basedOn w:val="1"/>
    <w:next w:val="1"/>
    <w:link w:val="31"/>
    <w:unhideWhenUsed/>
    <w:qFormat/>
    <w:uiPriority w:val="9"/>
    <w:pPr>
      <w:outlineLvl w:val="4"/>
    </w:pPr>
  </w:style>
  <w:style w:type="paragraph" w:styleId="7">
    <w:name w:val="heading 6"/>
    <w:basedOn w:val="1"/>
    <w:next w:val="1"/>
    <w:link w:val="32"/>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33"/>
    <w:unhideWhenUsed/>
    <w:qFormat/>
    <w:uiPriority w:val="9"/>
    <w:pPr>
      <w:keepNext/>
      <w:keepLines/>
      <w:spacing w:before="240" w:after="64" w:line="320" w:lineRule="auto"/>
      <w:outlineLvl w:val="6"/>
    </w:pPr>
    <w:rPr>
      <w:b/>
      <w:bCs/>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9">
    <w:name w:val="caption"/>
    <w:basedOn w:val="1"/>
    <w:next w:val="1"/>
    <w:unhideWhenUsed/>
    <w:qFormat/>
    <w:uiPriority w:val="35"/>
    <w:rPr>
      <w:rFonts w:eastAsia="黑体" w:asciiTheme="majorHAnsi" w:hAnsiTheme="majorHAnsi" w:cstheme="majorBidi"/>
      <w:sz w:val="20"/>
    </w:rPr>
  </w:style>
  <w:style w:type="paragraph" w:styleId="10">
    <w:name w:val="annotation text"/>
    <w:basedOn w:val="1"/>
    <w:link w:val="37"/>
    <w:unhideWhenUsed/>
    <w:qFormat/>
    <w:uiPriority w:val="99"/>
    <w:pPr>
      <w:jc w:val="left"/>
    </w:pPr>
  </w:style>
  <w:style w:type="paragraph" w:styleId="11">
    <w:name w:val="toc 3"/>
    <w:basedOn w:val="1"/>
    <w:next w:val="1"/>
    <w:unhideWhenUsed/>
    <w:qFormat/>
    <w:uiPriority w:val="39"/>
    <w:pPr>
      <w:widowControl/>
      <w:suppressAutoHyphens w:val="0"/>
      <w:spacing w:after="100" w:line="259" w:lineRule="auto"/>
      <w:ind w:left="440" w:firstLine="0" w:firstLineChars="0"/>
      <w:jc w:val="left"/>
    </w:pPr>
    <w:rPr>
      <w:rFonts w:asciiTheme="minorHAnsi" w:hAnsiTheme="minorHAnsi" w:eastAsiaTheme="minorEastAsia"/>
      <w:kern w:val="0"/>
      <w:sz w:val="22"/>
      <w:szCs w:val="22"/>
    </w:rPr>
  </w:style>
  <w:style w:type="paragraph" w:styleId="12">
    <w:name w:val="endnote text"/>
    <w:basedOn w:val="1"/>
    <w:link w:val="64"/>
    <w:semiHidden/>
    <w:unhideWhenUsed/>
    <w:qFormat/>
    <w:uiPriority w:val="99"/>
    <w:pPr>
      <w:snapToGrid w:val="0"/>
      <w:jc w:val="left"/>
    </w:pPr>
  </w:style>
  <w:style w:type="paragraph" w:styleId="13">
    <w:name w:val="Balloon Text"/>
    <w:basedOn w:val="1"/>
    <w:link w:val="36"/>
    <w:semiHidden/>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uppressAutoHyphens w:val="0"/>
      <w:spacing w:after="100" w:line="259" w:lineRule="auto"/>
      <w:ind w:firstLine="0" w:firstLineChars="0"/>
      <w:jc w:val="left"/>
    </w:pPr>
    <w:rPr>
      <w:rFonts w:asciiTheme="minorHAnsi" w:hAnsiTheme="minorHAnsi" w:eastAsiaTheme="minorEastAsia"/>
      <w:kern w:val="0"/>
      <w:sz w:val="22"/>
      <w:szCs w:val="22"/>
    </w:rPr>
  </w:style>
  <w:style w:type="paragraph" w:styleId="17">
    <w:name w:val="toc 2"/>
    <w:basedOn w:val="1"/>
    <w:next w:val="1"/>
    <w:unhideWhenUsed/>
    <w:qFormat/>
    <w:uiPriority w:val="39"/>
    <w:pPr>
      <w:widowControl/>
      <w:tabs>
        <w:tab w:val="right" w:leader="dot" w:pos="8296"/>
      </w:tabs>
      <w:suppressAutoHyphens w:val="0"/>
      <w:spacing w:after="100" w:line="259" w:lineRule="auto"/>
      <w:ind w:left="220" w:firstLine="0" w:firstLineChars="0"/>
      <w:jc w:val="left"/>
    </w:pPr>
    <w:rPr>
      <w:rFonts w:asciiTheme="minorHAnsi" w:hAnsiTheme="minorHAnsi" w:eastAsiaTheme="minorEastAsia"/>
      <w:kern w:val="0"/>
      <w:sz w:val="22"/>
      <w:szCs w:val="22"/>
    </w:rPr>
  </w:style>
  <w:style w:type="paragraph" w:styleId="18">
    <w:name w:val="Normal (Web)"/>
    <w:basedOn w:val="1"/>
    <w:unhideWhenUsed/>
    <w:qFormat/>
    <w:uiPriority w:val="99"/>
    <w:pPr>
      <w:widowControl/>
      <w:suppressAutoHyphens w:val="0"/>
      <w:spacing w:before="100" w:beforeAutospacing="1" w:after="100" w:afterAutospacing="1"/>
      <w:jc w:val="left"/>
    </w:pPr>
    <w:rPr>
      <w:rFonts w:ascii="宋体" w:hAnsi="宋体" w:cs="宋体"/>
      <w:kern w:val="0"/>
      <w:szCs w:val="24"/>
    </w:rPr>
  </w:style>
  <w:style w:type="paragraph" w:styleId="19">
    <w:name w:val="annotation subject"/>
    <w:basedOn w:val="10"/>
    <w:next w:val="10"/>
    <w:link w:val="38"/>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ndnote reference"/>
    <w:basedOn w:val="22"/>
    <w:semiHidden/>
    <w:unhideWhenUsed/>
    <w:qFormat/>
    <w:uiPriority w:val="99"/>
    <w:rPr>
      <w:vertAlign w:val="superscript"/>
    </w:rPr>
  </w:style>
  <w:style w:type="character" w:styleId="24">
    <w:name w:val="Emphasis"/>
    <w:basedOn w:val="22"/>
    <w:qFormat/>
    <w:uiPriority w:val="20"/>
    <w:rPr>
      <w:i/>
      <w:iCs/>
    </w:rPr>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character" w:customStyle="1" w:styleId="27">
    <w:name w:val="标题 1 字符"/>
    <w:basedOn w:val="22"/>
    <w:link w:val="2"/>
    <w:qFormat/>
    <w:uiPriority w:val="9"/>
    <w:rPr>
      <w:rFonts w:ascii="仿宋" w:hAnsi="仿宋" w:eastAsia="仿宋" w:cs="Times New Roman"/>
      <w:b/>
      <w:bCs/>
      <w:kern w:val="1"/>
      <w:sz w:val="28"/>
      <w:szCs w:val="20"/>
    </w:rPr>
  </w:style>
  <w:style w:type="character" w:customStyle="1" w:styleId="28">
    <w:name w:val="标题 2 字符"/>
    <w:basedOn w:val="22"/>
    <w:link w:val="3"/>
    <w:qFormat/>
    <w:uiPriority w:val="9"/>
    <w:rPr>
      <w:rFonts w:ascii="仿宋" w:hAnsi="仿宋" w:eastAsia="仿宋" w:cs="Times New Roman"/>
      <w:kern w:val="1"/>
      <w:sz w:val="28"/>
      <w:szCs w:val="21"/>
    </w:rPr>
  </w:style>
  <w:style w:type="character" w:customStyle="1" w:styleId="29">
    <w:name w:val="标题 3 字符"/>
    <w:basedOn w:val="22"/>
    <w:link w:val="4"/>
    <w:qFormat/>
    <w:uiPriority w:val="9"/>
    <w:rPr>
      <w:rFonts w:ascii="仿宋" w:hAnsi="仿宋" w:eastAsia="仿宋" w:cs="Times New Roman"/>
      <w:b/>
      <w:kern w:val="1"/>
      <w:sz w:val="24"/>
      <w:szCs w:val="20"/>
    </w:rPr>
  </w:style>
  <w:style w:type="character" w:customStyle="1" w:styleId="30">
    <w:name w:val="标题 4 字符"/>
    <w:basedOn w:val="22"/>
    <w:link w:val="5"/>
    <w:qFormat/>
    <w:uiPriority w:val="9"/>
    <w:rPr>
      <w:rFonts w:ascii="宋体" w:hAnsi="宋体" w:eastAsia="仿宋" w:cstheme="majorBidi"/>
      <w:b/>
      <w:bCs/>
      <w:kern w:val="1"/>
      <w:sz w:val="24"/>
      <w:szCs w:val="28"/>
    </w:rPr>
  </w:style>
  <w:style w:type="character" w:customStyle="1" w:styleId="31">
    <w:name w:val="标题 5 字符"/>
    <w:basedOn w:val="22"/>
    <w:link w:val="6"/>
    <w:qFormat/>
    <w:uiPriority w:val="9"/>
    <w:rPr>
      <w:rFonts w:ascii="仿宋" w:hAnsi="仿宋" w:eastAsia="仿宋" w:cs="Times New Roman"/>
      <w:kern w:val="1"/>
      <w:sz w:val="24"/>
      <w:szCs w:val="20"/>
    </w:rPr>
  </w:style>
  <w:style w:type="character" w:customStyle="1" w:styleId="32">
    <w:name w:val="标题 6 字符"/>
    <w:basedOn w:val="22"/>
    <w:link w:val="7"/>
    <w:qFormat/>
    <w:uiPriority w:val="9"/>
    <w:rPr>
      <w:rFonts w:asciiTheme="majorHAnsi" w:hAnsiTheme="majorHAnsi" w:eastAsiaTheme="majorEastAsia" w:cstheme="majorBidi"/>
      <w:b/>
      <w:bCs/>
      <w:kern w:val="1"/>
      <w:sz w:val="24"/>
      <w:szCs w:val="24"/>
    </w:rPr>
  </w:style>
  <w:style w:type="character" w:customStyle="1" w:styleId="33">
    <w:name w:val="标题 7 字符"/>
    <w:basedOn w:val="22"/>
    <w:link w:val="8"/>
    <w:qFormat/>
    <w:uiPriority w:val="9"/>
    <w:rPr>
      <w:rFonts w:ascii="等线" w:hAnsi="等线" w:eastAsia="等线" w:cs="Times New Roman"/>
      <w:b/>
      <w:bCs/>
      <w:kern w:val="1"/>
      <w:sz w:val="24"/>
      <w:szCs w:val="24"/>
    </w:rPr>
  </w:style>
  <w:style w:type="character" w:customStyle="1" w:styleId="34">
    <w:name w:val="页眉 字符"/>
    <w:basedOn w:val="22"/>
    <w:link w:val="15"/>
    <w:qFormat/>
    <w:uiPriority w:val="99"/>
    <w:rPr>
      <w:sz w:val="18"/>
      <w:szCs w:val="18"/>
    </w:rPr>
  </w:style>
  <w:style w:type="character" w:customStyle="1" w:styleId="35">
    <w:name w:val="页脚 字符"/>
    <w:basedOn w:val="22"/>
    <w:link w:val="14"/>
    <w:qFormat/>
    <w:uiPriority w:val="99"/>
    <w:rPr>
      <w:sz w:val="18"/>
      <w:szCs w:val="18"/>
    </w:rPr>
  </w:style>
  <w:style w:type="character" w:customStyle="1" w:styleId="36">
    <w:name w:val="批注框文本 字符"/>
    <w:basedOn w:val="22"/>
    <w:link w:val="13"/>
    <w:semiHidden/>
    <w:qFormat/>
    <w:uiPriority w:val="99"/>
    <w:rPr>
      <w:rFonts w:ascii="等线" w:hAnsi="等线" w:eastAsia="等线" w:cs="Times New Roman"/>
      <w:kern w:val="1"/>
      <w:sz w:val="18"/>
      <w:szCs w:val="18"/>
    </w:rPr>
  </w:style>
  <w:style w:type="character" w:customStyle="1" w:styleId="37">
    <w:name w:val="批注文字 字符"/>
    <w:basedOn w:val="22"/>
    <w:link w:val="10"/>
    <w:qFormat/>
    <w:uiPriority w:val="99"/>
    <w:rPr>
      <w:rFonts w:ascii="等线" w:hAnsi="等线" w:eastAsia="等线" w:cs="Times New Roman"/>
      <w:kern w:val="1"/>
      <w:szCs w:val="20"/>
    </w:rPr>
  </w:style>
  <w:style w:type="character" w:customStyle="1" w:styleId="38">
    <w:name w:val="批注主题 字符"/>
    <w:basedOn w:val="37"/>
    <w:link w:val="19"/>
    <w:semiHidden/>
    <w:qFormat/>
    <w:uiPriority w:val="99"/>
    <w:rPr>
      <w:rFonts w:ascii="等线" w:hAnsi="等线" w:eastAsia="等线" w:cs="Times New Roman"/>
      <w:b/>
      <w:bCs/>
      <w:kern w:val="1"/>
      <w:szCs w:val="20"/>
    </w:rPr>
  </w:style>
  <w:style w:type="paragraph" w:customStyle="1" w:styleId="39">
    <w:name w:val="Revision"/>
    <w:hidden/>
    <w:semiHidden/>
    <w:qFormat/>
    <w:uiPriority w:val="99"/>
    <w:rPr>
      <w:rFonts w:hint="eastAsia" w:ascii="等线" w:hAnsi="等线" w:eastAsia="等线" w:cs="Times New Roman"/>
      <w:kern w:val="1"/>
      <w:sz w:val="21"/>
      <w:szCs w:val="20"/>
      <w:lang w:val="en-US" w:eastAsia="zh-CN" w:bidi="ar-SA"/>
    </w:rPr>
  </w:style>
  <w:style w:type="paragraph" w:customStyle="1" w:styleId="40">
    <w:name w:val="表格"/>
    <w:basedOn w:val="1"/>
    <w:link w:val="41"/>
    <w:qFormat/>
    <w:uiPriority w:val="0"/>
    <w:pPr>
      <w:ind w:firstLine="0" w:firstLineChars="0"/>
      <w:jc w:val="center"/>
      <w:outlineLvl w:val="1"/>
    </w:pPr>
    <w:rPr>
      <w:rFonts w:cs="仿宋_GB2312"/>
      <w:sz w:val="21"/>
      <w:szCs w:val="21"/>
    </w:rPr>
  </w:style>
  <w:style w:type="character" w:customStyle="1" w:styleId="41">
    <w:name w:val="表格 字符"/>
    <w:basedOn w:val="22"/>
    <w:link w:val="40"/>
    <w:qFormat/>
    <w:uiPriority w:val="0"/>
    <w:rPr>
      <w:rFonts w:ascii="仿宋" w:hAnsi="仿宋" w:eastAsia="仿宋" w:cs="仿宋_GB2312"/>
      <w:kern w:val="1"/>
      <w:szCs w:val="21"/>
    </w:rPr>
  </w:style>
  <w:style w:type="paragraph" w:styleId="42">
    <w:name w:val="List Paragraph"/>
    <w:basedOn w:val="1"/>
    <w:qFormat/>
    <w:uiPriority w:val="99"/>
    <w:pPr>
      <w:widowControl/>
      <w:suppressAutoHyphens w:val="0"/>
      <w:ind w:firstLine="420"/>
      <w:jc w:val="left"/>
    </w:pPr>
    <w:rPr>
      <w:rFonts w:ascii="宋体" w:hAnsi="宋体" w:cs="宋体"/>
      <w:kern w:val="0"/>
      <w:szCs w:val="24"/>
    </w:rPr>
  </w:style>
  <w:style w:type="paragraph" w:customStyle="1" w:styleId="43">
    <w:name w:val="图表标注"/>
    <w:basedOn w:val="9"/>
    <w:qFormat/>
    <w:uiPriority w:val="0"/>
    <w:pPr>
      <w:spacing w:before="312" w:beforeLines="100" w:after="156" w:afterLines="50"/>
      <w:ind w:firstLine="400"/>
      <w:jc w:val="center"/>
    </w:pPr>
  </w:style>
  <w:style w:type="paragraph" w:customStyle="1" w:styleId="44">
    <w:name w:val="我党正文"/>
    <w:basedOn w:val="1"/>
    <w:qFormat/>
    <w:uiPriority w:val="0"/>
    <w:pPr>
      <w:suppressAutoHyphens w:val="0"/>
      <w:spacing w:line="560" w:lineRule="exact"/>
      <w:ind w:firstLine="560"/>
    </w:pPr>
    <w:rPr>
      <w:rFonts w:ascii="仿宋_GB2312" w:hAnsi="仿宋_GB2312" w:eastAsia="仿宋_GB2312" w:cs="仿宋_GB2312"/>
      <w:kern w:val="2"/>
      <w:sz w:val="28"/>
      <w:szCs w:val="28"/>
    </w:rPr>
  </w:style>
  <w:style w:type="character" w:customStyle="1" w:styleId="45">
    <w:name w:val="附录三级标题 字符"/>
    <w:basedOn w:val="22"/>
    <w:link w:val="46"/>
    <w:qFormat/>
    <w:uiPriority w:val="0"/>
    <w:rPr>
      <w:rFonts w:ascii="宋体" w:hAnsi="宋体" w:eastAsia="仿宋" w:cs="宋体"/>
      <w:kern w:val="0"/>
      <w:sz w:val="24"/>
      <w:szCs w:val="24"/>
    </w:rPr>
  </w:style>
  <w:style w:type="paragraph" w:customStyle="1" w:styleId="46">
    <w:name w:val="附录三级标题"/>
    <w:basedOn w:val="42"/>
    <w:link w:val="45"/>
    <w:qFormat/>
    <w:uiPriority w:val="0"/>
    <w:pPr>
      <w:ind w:left="426" w:firstLine="0" w:firstLineChars="0"/>
      <w:outlineLvl w:val="2"/>
    </w:pPr>
  </w:style>
  <w:style w:type="character" w:customStyle="1" w:styleId="47">
    <w:name w:val="图格式（终稿） 字符"/>
    <w:basedOn w:val="22"/>
    <w:link w:val="48"/>
    <w:qFormat/>
    <w:uiPriority w:val="0"/>
    <w:rPr>
      <w:rFonts w:ascii="仿宋" w:hAnsi="仿宋" w:eastAsia="宋体"/>
      <w:b/>
      <w:sz w:val="18"/>
      <w:szCs w:val="21"/>
    </w:rPr>
  </w:style>
  <w:style w:type="paragraph" w:customStyle="1" w:styleId="48">
    <w:name w:val="图格式（终稿）"/>
    <w:basedOn w:val="1"/>
    <w:link w:val="47"/>
    <w:qFormat/>
    <w:uiPriority w:val="0"/>
    <w:pPr>
      <w:suppressAutoHyphens w:val="0"/>
      <w:spacing w:after="50" w:afterLines="50"/>
      <w:ind w:firstLine="0" w:firstLineChars="0"/>
      <w:jc w:val="center"/>
    </w:pPr>
    <w:rPr>
      <w:rFonts w:cstheme="minorBidi"/>
      <w:b/>
      <w:kern w:val="2"/>
      <w:sz w:val="18"/>
      <w:szCs w:val="21"/>
    </w:rPr>
  </w:style>
  <w:style w:type="character" w:customStyle="1" w:styleId="49">
    <w:name w:val="二级（终版） 字符"/>
    <w:basedOn w:val="28"/>
    <w:link w:val="50"/>
    <w:qFormat/>
    <w:uiPriority w:val="0"/>
    <w:rPr>
      <w:rFonts w:ascii="黑体" w:hAnsi="黑体" w:eastAsia="黑体" w:cs="Times New Roman"/>
      <w:b/>
      <w:bCs/>
      <w:kern w:val="44"/>
      <w:sz w:val="28"/>
      <w:szCs w:val="24"/>
    </w:rPr>
  </w:style>
  <w:style w:type="paragraph" w:customStyle="1" w:styleId="50">
    <w:name w:val="二级（终版）"/>
    <w:basedOn w:val="3"/>
    <w:link w:val="49"/>
    <w:qFormat/>
    <w:uiPriority w:val="0"/>
    <w:pPr>
      <w:suppressAutoHyphens w:val="0"/>
      <w:spacing w:before="100" w:beforeAutospacing="1" w:after="100" w:afterAutospacing="1"/>
      <w:ind w:firstLine="480" w:firstLineChars="200"/>
    </w:pPr>
    <w:rPr>
      <w:rFonts w:ascii="黑体" w:hAnsi="黑体" w:eastAsia="黑体" w:cstheme="minorBidi"/>
      <w:b/>
      <w:bCs/>
      <w:kern w:val="44"/>
      <w:szCs w:val="24"/>
    </w:rPr>
  </w:style>
  <w:style w:type="paragraph" w:customStyle="1" w:styleId="51">
    <w:name w:val="表标题"/>
    <w:basedOn w:val="1"/>
    <w:next w:val="1"/>
    <w:link w:val="52"/>
    <w:qFormat/>
    <w:uiPriority w:val="0"/>
    <w:pPr>
      <w:spacing w:before="156" w:beforeLines="50" w:after="156" w:afterLines="50"/>
      <w:ind w:firstLine="442"/>
      <w:jc w:val="center"/>
    </w:pPr>
    <w:rPr>
      <w:b/>
      <w:sz w:val="21"/>
    </w:rPr>
  </w:style>
  <w:style w:type="character" w:customStyle="1" w:styleId="52">
    <w:name w:val="表标题 字符"/>
    <w:basedOn w:val="22"/>
    <w:link w:val="51"/>
    <w:qFormat/>
    <w:uiPriority w:val="0"/>
    <w:rPr>
      <w:rFonts w:ascii="仿宋" w:hAnsi="仿宋" w:eastAsia="仿宋" w:cs="Times New Roman"/>
      <w:b/>
      <w:kern w:val="1"/>
      <w:szCs w:val="20"/>
    </w:rPr>
  </w:style>
  <w:style w:type="paragraph" w:customStyle="1" w:styleId="53">
    <w:name w:val="附录大标题"/>
    <w:basedOn w:val="44"/>
    <w:qFormat/>
    <w:uiPriority w:val="0"/>
    <w:pPr>
      <w:keepNext/>
      <w:pageBreakBefore/>
      <w:spacing w:before="50" w:beforeLines="50" w:after="50" w:afterLines="50"/>
      <w:ind w:firstLine="0" w:firstLineChars="0"/>
      <w:outlineLvl w:val="1"/>
    </w:pPr>
    <w:rPr>
      <w:rFonts w:ascii="仿宋" w:hAnsi="仿宋" w:eastAsia="仿宋" w:cs="楷体"/>
      <w:b/>
      <w:bCs/>
      <w:sz w:val="32"/>
    </w:rPr>
  </w:style>
  <w:style w:type="paragraph" w:customStyle="1" w:styleId="54">
    <w:name w:val="图标题"/>
    <w:basedOn w:val="51"/>
    <w:link w:val="55"/>
    <w:qFormat/>
    <w:uiPriority w:val="0"/>
    <w:pPr>
      <w:spacing w:after="312" w:afterLines="100"/>
    </w:pPr>
  </w:style>
  <w:style w:type="character" w:customStyle="1" w:styleId="55">
    <w:name w:val="图标题 字符"/>
    <w:basedOn w:val="52"/>
    <w:link w:val="54"/>
    <w:qFormat/>
    <w:uiPriority w:val="0"/>
    <w:rPr>
      <w:rFonts w:ascii="Times New Roman" w:hAnsi="Times New Roman" w:eastAsia="宋体" w:cs="Times New Roman"/>
      <w:kern w:val="1"/>
      <w:sz w:val="18"/>
      <w:szCs w:val="18"/>
    </w:rPr>
  </w:style>
  <w:style w:type="paragraph" w:customStyle="1" w:styleId="56">
    <w:name w:val="TOC Heading"/>
    <w:basedOn w:val="2"/>
    <w:next w:val="1"/>
    <w:unhideWhenUsed/>
    <w:qFormat/>
    <w:uiPriority w:val="39"/>
    <w:pPr>
      <w:keepLines/>
      <w:widowControl/>
      <w:suppressAutoHyphens w:val="0"/>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7">
    <w:name w:val="附录一级标题"/>
    <w:basedOn w:val="3"/>
    <w:qFormat/>
    <w:uiPriority w:val="0"/>
    <w:pPr>
      <w:numPr>
        <w:ilvl w:val="0"/>
        <w:numId w:val="0"/>
      </w:numPr>
      <w:ind w:left="425"/>
      <w:outlineLvl w:val="9"/>
    </w:pPr>
  </w:style>
  <w:style w:type="paragraph" w:customStyle="1" w:styleId="58">
    <w:name w:val="世行正文"/>
    <w:basedOn w:val="44"/>
    <w:link w:val="59"/>
    <w:qFormat/>
    <w:uiPriority w:val="0"/>
  </w:style>
  <w:style w:type="character" w:customStyle="1" w:styleId="59">
    <w:name w:val="世行正文 字符"/>
    <w:link w:val="58"/>
    <w:qFormat/>
    <w:uiPriority w:val="0"/>
    <w:rPr>
      <w:rFonts w:ascii="仿宋_GB2312" w:hAnsi="仿宋_GB2312" w:eastAsia="仿宋_GB2312" w:cs="仿宋_GB2312"/>
      <w:sz w:val="28"/>
      <w:szCs w:val="28"/>
    </w:rPr>
  </w:style>
  <w:style w:type="paragraph" w:customStyle="1" w:styleId="60">
    <w:name w:val="表格内"/>
    <w:basedOn w:val="1"/>
    <w:qFormat/>
    <w:uiPriority w:val="0"/>
    <w:pPr>
      <w:widowControl/>
      <w:suppressAutoHyphens w:val="0"/>
      <w:spacing w:line="360" w:lineRule="auto"/>
      <w:ind w:firstLine="0" w:firstLineChars="0"/>
      <w:jc w:val="center"/>
    </w:pPr>
    <w:rPr>
      <w:rFonts w:ascii="宋体" w:hAnsi="宋体" w:eastAsia="宋体" w:cs="宋体"/>
      <w:kern w:val="0"/>
      <w:szCs w:val="24"/>
    </w:rPr>
  </w:style>
  <w:style w:type="paragraph" w:customStyle="1" w:styleId="61">
    <w:name w:val="附录二级标题"/>
    <w:basedOn w:val="4"/>
    <w:link w:val="62"/>
    <w:qFormat/>
    <w:uiPriority w:val="0"/>
    <w:pPr>
      <w:numPr>
        <w:ilvl w:val="0"/>
        <w:numId w:val="0"/>
      </w:numPr>
      <w:ind w:left="964" w:hanging="397"/>
      <w:outlineLvl w:val="9"/>
    </w:pPr>
  </w:style>
  <w:style w:type="character" w:customStyle="1" w:styleId="62">
    <w:name w:val="附录二级标题 字符"/>
    <w:link w:val="61"/>
    <w:qFormat/>
    <w:uiPriority w:val="0"/>
    <w:rPr>
      <w:rFonts w:ascii="仿宋" w:hAnsi="仿宋" w:eastAsia="仿宋" w:cs="Times New Roman"/>
      <w:b/>
      <w:kern w:val="1"/>
      <w:sz w:val="24"/>
      <w:szCs w:val="20"/>
    </w:rPr>
  </w:style>
  <w:style w:type="paragraph" w:customStyle="1" w:styleId="63">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64">
    <w:name w:val="尾注文本 字符"/>
    <w:basedOn w:val="22"/>
    <w:link w:val="12"/>
    <w:semiHidden/>
    <w:qFormat/>
    <w:uiPriority w:val="99"/>
    <w:rPr>
      <w:rFonts w:ascii="仿宋" w:hAnsi="仿宋" w:eastAsia="仿宋" w:cs="Times New Roman"/>
      <w:kern w:val="1"/>
      <w:sz w:val="24"/>
      <w:szCs w:val="20"/>
    </w:rPr>
  </w:style>
  <w:style w:type="paragraph" w:customStyle="1" w:styleId="65">
    <w:name w:val="世行二级标题"/>
    <w:basedOn w:val="44"/>
    <w:qFormat/>
    <w:uiPriority w:val="0"/>
    <w:pPr>
      <w:spacing w:before="156" w:beforeLines="50" w:after="156" w:afterLines="50"/>
      <w:ind w:firstLine="0" w:firstLineChars="0"/>
      <w:outlineLvl w:val="0"/>
    </w:pPr>
    <w:rPr>
      <w:rFonts w:ascii="楷体" w:hAnsi="楷体" w:eastAsia="楷体" w:cs="楷体"/>
      <w:b/>
      <w:bCs/>
    </w:rPr>
  </w:style>
  <w:style w:type="paragraph" w:customStyle="1" w:styleId="66">
    <w:name w:val="世行三级标题"/>
    <w:basedOn w:val="44"/>
    <w:qFormat/>
    <w:uiPriority w:val="0"/>
    <w:pPr>
      <w:spacing w:before="156" w:beforeLines="50"/>
      <w:ind w:firstLine="562"/>
      <w:outlineLvl w:val="0"/>
    </w:pPr>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1" Type="http://schemas.openxmlformats.org/officeDocument/2006/relationships/fontTable" Target="fontTable.xml"/><Relationship Id="rId60" Type="http://schemas.openxmlformats.org/officeDocument/2006/relationships/customXml" Target="../customXml/item2.xml"/><Relationship Id="rId6" Type="http://schemas.openxmlformats.org/officeDocument/2006/relationships/header" Target="head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14.png"/><Relationship Id="rId56" Type="http://schemas.openxmlformats.org/officeDocument/2006/relationships/image" Target="media/image13.jpeg"/><Relationship Id="rId55" Type="http://schemas.openxmlformats.org/officeDocument/2006/relationships/image" Target="media/image12.png"/><Relationship Id="rId54" Type="http://schemas.openxmlformats.org/officeDocument/2006/relationships/image" Target="media/image11.png"/><Relationship Id="rId53" Type="http://schemas.openxmlformats.org/officeDocument/2006/relationships/image" Target="media/image10.png"/><Relationship Id="rId52" Type="http://schemas.openxmlformats.org/officeDocument/2006/relationships/image" Target="media/image9.png"/><Relationship Id="rId51" Type="http://schemas.openxmlformats.org/officeDocument/2006/relationships/chart" Target="charts/chart19.xml"/><Relationship Id="rId50" Type="http://schemas.openxmlformats.org/officeDocument/2006/relationships/chart" Target="charts/chart18.xml"/><Relationship Id="rId5" Type="http://schemas.openxmlformats.org/officeDocument/2006/relationships/header" Target="header1.xml"/><Relationship Id="rId49" Type="http://schemas.openxmlformats.org/officeDocument/2006/relationships/chart" Target="charts/chart17.xml"/><Relationship Id="rId48" Type="http://schemas.openxmlformats.org/officeDocument/2006/relationships/chart" Target="charts/chart16.xml"/><Relationship Id="rId47" Type="http://schemas.openxmlformats.org/officeDocument/2006/relationships/chart" Target="charts/chart15.xml"/><Relationship Id="rId46" Type="http://schemas.openxmlformats.org/officeDocument/2006/relationships/chart" Target="charts/chart14.xml"/><Relationship Id="rId45" Type="http://schemas.openxmlformats.org/officeDocument/2006/relationships/chart" Target="charts/chart13.xml"/><Relationship Id="rId44" Type="http://schemas.openxmlformats.org/officeDocument/2006/relationships/chart" Target="charts/chart12.xml"/><Relationship Id="rId43" Type="http://schemas.openxmlformats.org/officeDocument/2006/relationships/chart" Target="charts/chart11.xml"/><Relationship Id="rId42" Type="http://schemas.openxmlformats.org/officeDocument/2006/relationships/chart" Target="charts/chart10.xml"/><Relationship Id="rId41" Type="http://schemas.openxmlformats.org/officeDocument/2006/relationships/chart" Target="charts/chart9.xml"/><Relationship Id="rId40" Type="http://schemas.openxmlformats.org/officeDocument/2006/relationships/chart" Target="charts/chart8.xml"/><Relationship Id="rId4" Type="http://schemas.openxmlformats.org/officeDocument/2006/relationships/endnotes" Target="endnotes.xml"/><Relationship Id="rId39" Type="http://schemas.openxmlformats.org/officeDocument/2006/relationships/chart" Target="charts/chart7.xml"/><Relationship Id="rId38" Type="http://schemas.openxmlformats.org/officeDocument/2006/relationships/chart" Target="charts/chart6.xml"/><Relationship Id="rId37" Type="http://schemas.openxmlformats.org/officeDocument/2006/relationships/chart" Target="charts/chart5.xml"/><Relationship Id="rId36" Type="http://schemas.openxmlformats.org/officeDocument/2006/relationships/chart" Target="charts/chart4.xml"/><Relationship Id="rId35" Type="http://schemas.openxmlformats.org/officeDocument/2006/relationships/chart" Target="charts/chart3.xml"/><Relationship Id="rId34" Type="http://schemas.openxmlformats.org/officeDocument/2006/relationships/chart" Target="charts/chart2.xml"/><Relationship Id="rId33" Type="http://schemas.openxmlformats.org/officeDocument/2006/relationships/image" Target="media/image8.png"/><Relationship Id="rId32" Type="http://schemas.openxmlformats.org/officeDocument/2006/relationships/image" Target="media/image7.png"/><Relationship Id="rId31" Type="http://schemas.openxmlformats.org/officeDocument/2006/relationships/image" Target="media/image6.png"/><Relationship Id="rId30" Type="http://schemas.openxmlformats.org/officeDocument/2006/relationships/chart" Target="charts/chart1.xml"/><Relationship Id="rId3" Type="http://schemas.openxmlformats.org/officeDocument/2006/relationships/footnotes" Target="footnotes.xml"/><Relationship Id="rId29" Type="http://schemas.openxmlformats.org/officeDocument/2006/relationships/image" Target="media/image5.png"/><Relationship Id="rId28" Type="http://schemas.openxmlformats.org/officeDocument/2006/relationships/image" Target="media/image4.png"/><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16056\Desktop\&#33021;&#32791;&#27979;&#31639;&#19982;&#39044;&#27979;\0628&#27784;&#38451;&#33021;&#32791;&#35745;&#31639;(&#24050;&#33258;&#21160;&#36824;&#21407;).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86187\Desktop\0629&#27784;&#38451;&#25968;&#25454;&#27979;&#31639;&#22522;&#20110;&#22478;&#24066;&#24314;&#35774;&#32479;&#35745;&#24180;&#37492;.xlsx"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86187\Desktop\0629&#27784;&#38451;&#25968;&#25454;&#27979;&#31639;&#22522;&#20110;&#22478;&#24066;&#24314;&#35774;&#32479;&#35745;&#24180;&#37492;.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C:\Users\86187\Desktop\0629&#27784;&#38451;&#25968;&#25454;&#27979;&#31639;&#22522;&#20110;&#22478;&#24066;&#24314;&#35774;&#32479;&#35745;&#24180;&#37492;.xlsx"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oleObject" Target="file:///C:\Users\86187\Desktop\0629&#27784;&#38451;&#25968;&#25454;&#27979;&#31639;&#22522;&#20110;&#22478;&#24066;&#24314;&#35774;&#32479;&#35745;&#24180;&#37492;.xlsx"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14.xml"/><Relationship Id="rId2" Type="http://schemas.microsoft.com/office/2011/relationships/chartStyle" Target="style14.xml"/><Relationship Id="rId1" Type="http://schemas.openxmlformats.org/officeDocument/2006/relationships/oleObject" Target="file:///C:\Users\86187\Desktop\0629&#27784;&#38451;&#25968;&#25454;&#27979;&#31639;&#22522;&#20110;&#22478;&#24066;&#24314;&#35774;&#32479;&#35745;&#24180;&#37492;.xlsx" TargetMode="External"/></Relationships>
</file>

<file path=word/charts/_rels/chart16.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C:\Users\86187\Desktop\0629&#27784;&#38451;&#25968;&#25454;&#27979;&#31639;&#22522;&#20110;&#22478;&#24066;&#24314;&#35774;&#32479;&#35745;&#24180;&#37492;.xlsx"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16.xml"/><Relationship Id="rId2" Type="http://schemas.microsoft.com/office/2011/relationships/chartStyle" Target="style16.xml"/><Relationship Id="rId1" Type="http://schemas.openxmlformats.org/officeDocument/2006/relationships/oleObject" Target="file:///C:\Users\86187\Desktop\0629&#27784;&#38451;&#25968;&#25454;&#27979;&#31639;&#22522;&#20110;&#22478;&#24066;&#24314;&#35774;&#32479;&#35745;&#24180;&#37492;.xlsx" TargetMode="External"/></Relationships>
</file>

<file path=word/charts/_rels/chart18.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oleObject" Target="file:///C:\Users\86187\Desktop\0629&#27784;&#38451;&#25968;&#25454;&#27979;&#31639;&#22522;&#20110;&#22478;&#24066;&#24314;&#35774;&#32479;&#35745;&#24180;&#37492;.xlsx" TargetMode="External"/></Relationships>
</file>

<file path=word/charts/_rels/chart19.xml.rels><?xml version="1.0" encoding="UTF-8" standalone="yes"?>
<Relationships xmlns="http://schemas.openxmlformats.org/package/2006/relationships"><Relationship Id="rId3" Type="http://schemas.microsoft.com/office/2011/relationships/chartColorStyle" Target="colors18.xml"/><Relationship Id="rId2" Type="http://schemas.microsoft.com/office/2011/relationships/chartStyle" Target="style18.xml"/><Relationship Id="rId1" Type="http://schemas.openxmlformats.org/officeDocument/2006/relationships/oleObject" Target="file:///C:\Users\86187\Desktop\0629&#27784;&#38451;&#25968;&#25454;&#27979;&#31639;&#22522;&#20110;&#22478;&#24066;&#24314;&#35774;&#32479;&#35745;&#24180;&#37492;.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2.xml"/><Relationship Id="rId1" Type="http://schemas.openxmlformats.org/officeDocument/2006/relationships/oleObject" Target="file:///C:\Users\CABEE-CAI\Desktop\&#27784;&#38451;&#21313;&#22235;&#20116;&#30456;&#20851;&#21442;&#32771;.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3.xml"/><Relationship Id="rId1" Type="http://schemas.openxmlformats.org/officeDocument/2006/relationships/oleObject" Target="file:///D:\&#21150;&#20844;\&#21327;&#20250;\&#39033;&#30446;\&#21313;&#22235;&#20116;&#35268;&#21010;\&#27784;&#38451;\&#32467;&#39064;&#39564;&#25910;\&#26368;&#32456;&#29256;&#26412;-&#24320;&#20250;&#20043;&#21069;\&#26032;&#24314;%20Microsoft%20Excel%20&#24037;&#20316;&#3492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4.xml"/><Relationship Id="rId1" Type="http://schemas.openxmlformats.org/officeDocument/2006/relationships/oleObject" Target="file:///C:\Users\CABEE-CAI\Desktop\&#27784;&#38451;&#21313;&#22235;&#20116;&#30456;&#20851;&#21442;&#3277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16056\Desktop\&#33021;&#32791;&#27979;&#31639;&#19982;&#39044;&#27979;\0629&#27784;&#38451;&#25968;&#25454;&#27979;&#31639;&#22522;&#20110;&#22478;&#24066;&#24314;&#35774;&#32479;&#35745;&#24180;&#37492;.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16056\Desktop\&#33021;&#32791;&#27979;&#31639;&#19982;&#39044;&#27979;\0629&#27784;&#38451;&#25968;&#25454;&#27979;&#31639;&#22522;&#20110;&#22478;&#24066;&#24314;&#35774;&#32479;&#35745;&#24180;&#37492;.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16056\Desktop\&#33021;&#32791;&#27979;&#31639;&#19982;&#39044;&#27979;\0629&#27784;&#38451;&#25968;&#25454;&#27979;&#31639;&#22522;&#20110;&#22478;&#24066;&#24314;&#35774;&#32479;&#35745;&#24180;&#37492;.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16056\Desktop\&#33021;&#32791;&#27979;&#31639;&#19982;&#39044;&#27979;\0629&#27784;&#38451;&#25968;&#25454;&#27979;&#31639;&#22522;&#20110;&#22478;&#24066;&#24314;&#35774;&#32479;&#35745;&#24180;&#37492;.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16056\Desktop\&#33021;&#32791;&#27979;&#31639;&#19982;&#39044;&#27979;\0628&#27784;&#38451;&#33021;&#32791;&#35745;&#31639;(&#24050;&#33258;&#21160;&#36824;&#214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26977175113078"/>
          <c:y val="0.136298275215598"/>
          <c:w val="0.572976735381574"/>
          <c:h val="0.761354205724285"/>
        </c:manualLayout>
      </c:layout>
      <c:pieChart>
        <c:varyColors val="1"/>
        <c:ser>
          <c:idx val="0"/>
          <c:order val="0"/>
          <c:tx>
            <c:strRef>
              <c:f>Sheet1!$B$1</c:f>
              <c:strCache>
                <c:ptCount val="1"/>
                <c:pt idx="0">
                  <c:v>占比</c:v>
                </c:pt>
              </c:strCache>
            </c:strRef>
          </c:tx>
          <c:explosion val="0"/>
          <c:dPt>
            <c:idx val="0"/>
            <c:bubble3D val="0"/>
            <c:spPr>
              <a:solidFill>
                <a:srgbClr val="5B9BD5"/>
              </a:solidFill>
              <a:ln w="12679">
                <a:solidFill>
                  <a:srgbClr val="FFFFFF"/>
                </a:solidFill>
                <a:prstDash val="solid"/>
              </a:ln>
            </c:spPr>
          </c:dPt>
          <c:dPt>
            <c:idx val="1"/>
            <c:bubble3D val="0"/>
            <c:spPr>
              <a:solidFill>
                <a:srgbClr val="ED7D31"/>
              </a:solidFill>
              <a:ln w="12679">
                <a:solidFill>
                  <a:srgbClr val="FFFFFF"/>
                </a:solidFill>
                <a:prstDash val="solid"/>
              </a:ln>
            </c:spPr>
          </c:dPt>
          <c:dPt>
            <c:idx val="2"/>
            <c:bubble3D val="0"/>
            <c:spPr>
              <a:solidFill>
                <a:srgbClr val="A5A5A5"/>
              </a:solidFill>
              <a:ln w="12679">
                <a:solidFill>
                  <a:srgbClr val="FFFFFF"/>
                </a:solidFill>
                <a:prstDash val="solid"/>
              </a:ln>
            </c:spPr>
          </c:dPt>
          <c:dPt>
            <c:idx val="3"/>
            <c:bubble3D val="0"/>
            <c:spPr>
              <a:solidFill>
                <a:srgbClr val="FFC000"/>
              </a:solidFill>
              <a:ln w="12679">
                <a:solidFill>
                  <a:srgbClr val="FFFFFF"/>
                </a:solidFill>
                <a:prstDash val="solid"/>
              </a:ln>
            </c:spPr>
          </c:dPt>
          <c:dPt>
            <c:idx val="4"/>
            <c:bubble3D val="0"/>
            <c:spPr>
              <a:solidFill>
                <a:srgbClr val="4472C4"/>
              </a:solidFill>
              <a:ln w="12679">
                <a:solidFill>
                  <a:srgbClr val="FFFFFF"/>
                </a:solidFill>
                <a:prstDash val="solid"/>
              </a:ln>
            </c:spPr>
          </c:dPt>
          <c:dLbls>
            <c:spPr>
              <a:noFill/>
              <a:ln w="25357">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000000"/>
                    </a:solidFill>
                    <a:latin typeface="Times New Roman" panose="02020603050405020304"/>
                    <a:ea typeface="Times New Roman" panose="02020603050405020304"/>
                    <a:cs typeface="Times New Roman" panose="020206030504050203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09" cap="flat" cmpd="sng" algn="ctr">
                      <a:solidFill>
                        <a:srgbClr val="A6A6A6">
                          <a:lumMod val="35000"/>
                          <a:lumOff val="65000"/>
                        </a:srgbClr>
                      </a:solidFill>
                      <a:prstDash val="solid"/>
                      <a:round/>
                    </a:ln>
                    <a:effectLst/>
                  </c:spPr>
                </c15:leaderLines>
              </c:ext>
            </c:extLst>
          </c:dLbls>
          <c:cat>
            <c:strRef>
              <c:f>Sheet1!$A$2:$A$6</c:f>
              <c:strCache>
                <c:ptCount val="5"/>
                <c:pt idx="0">
                  <c:v>国家标准</c:v>
                </c:pt>
                <c:pt idx="1">
                  <c:v>建筑行业标准</c:v>
                </c:pt>
                <c:pt idx="2">
                  <c:v>城镇建设标准</c:v>
                </c:pt>
                <c:pt idx="3">
                  <c:v>建筑材料行业标准</c:v>
                </c:pt>
                <c:pt idx="4">
                  <c:v>其他标准</c:v>
                </c:pt>
              </c:strCache>
            </c:strRef>
          </c:cat>
          <c:val>
            <c:numRef>
              <c:f>Sheet1!$B$2:$B$6</c:f>
              <c:numCache>
                <c:formatCode>0.00%</c:formatCode>
                <c:ptCount val="5"/>
                <c:pt idx="0">
                  <c:v>0.6</c:v>
                </c:pt>
                <c:pt idx="1">
                  <c:v>0.3375</c:v>
                </c:pt>
                <c:pt idx="2">
                  <c:v>0.0167</c:v>
                </c:pt>
                <c:pt idx="3">
                  <c:v>0.0375</c:v>
                </c:pt>
                <c:pt idx="4">
                  <c:v>0.0083</c:v>
                </c:pt>
              </c:numCache>
            </c:numRef>
          </c:val>
        </c:ser>
        <c:dLbls>
          <c:showLegendKey val="0"/>
          <c:showVal val="0"/>
          <c:showCatName val="0"/>
          <c:showSerName val="0"/>
          <c:showPercent val="0"/>
          <c:showBubbleSize val="0"/>
          <c:showLeaderLines val="1"/>
        </c:dLbls>
        <c:firstSliceAng val="0"/>
      </c:pieChart>
      <c:spPr>
        <a:noFill/>
        <a:ln w="25357">
          <a:noFill/>
        </a:ln>
      </c:spPr>
    </c:plotArea>
    <c:legend>
      <c:legendPos val="r"/>
      <c:layout>
        <c:manualLayout>
          <c:xMode val="edge"/>
          <c:yMode val="edge"/>
          <c:x val="0.710208113192788"/>
          <c:y val="0.103937007874016"/>
          <c:w val="0.256116183826912"/>
          <c:h val="0.843354353765808"/>
        </c:manualLayout>
      </c:layout>
      <c:overlay val="0"/>
      <c:spPr>
        <a:noFill/>
        <a:ln w="25357">
          <a:noFill/>
        </a:ln>
      </c:spPr>
      <c:txPr>
        <a:bodyPr rot="0" spcFirstLastPara="0" vertOverflow="ellipsis" vert="horz" wrap="square" anchor="ctr" anchorCtr="1"/>
        <a:lstStyle/>
        <a:p>
          <a:pPr>
            <a:defRPr lang="zh-CN" sz="825" b="0" i="0" u="none" strike="noStrike" kern="1200" baseline="0">
              <a:solidFill>
                <a:srgbClr val="000000"/>
              </a:solidFill>
              <a:latin typeface="Times New Roman" panose="02020603050405020304"/>
              <a:ea typeface="Times New Roman" panose="02020603050405020304"/>
              <a:cs typeface="Times New Roman" panose="02020603050405020304"/>
            </a:defRPr>
          </a:pPr>
        </a:p>
      </c:txPr>
    </c:legend>
    <c:plotVisOnly val="1"/>
    <c:dispBlanksAs val="zero"/>
    <c:showDLblsOverMax val="0"/>
    <c:extLst>
      <c:ext uri="{0b15fc19-7d7d-44ad-8c2d-2c3a37ce22c3}">
        <chartProps xmlns="https://web.wps.cn/et/2018/main" chartId="{edb04b2f-bb9f-4604-818b-ff04d1cb19f2}"/>
      </c:ext>
    </c:extLst>
  </c:chart>
  <c:spPr>
    <a:solidFill>
      <a:srgbClr val="FFFFFF"/>
    </a:solidFill>
    <a:ln w="6350" cap="flat" cmpd="sng" algn="ctr">
      <a:noFill/>
      <a:prstDash val="solid"/>
      <a:round/>
    </a:ln>
  </c:spPr>
  <c:txPr>
    <a:bodyPr/>
    <a:lstStyle/>
    <a:p>
      <a:pPr>
        <a:defRPr lang="zh-CN" sz="1000" b="0" i="0" u="none" strike="noStrike" baseline="0">
          <a:solidFill>
            <a:srgbClr val="000000"/>
          </a:solidFill>
          <a:latin typeface="FangSong_GB2312"/>
          <a:ea typeface="FangSong_GB2312"/>
          <a:cs typeface="FangSong_GB231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历年人口建面数据!$B$18</c:f>
              <c:strCache>
                <c:ptCount val="1"/>
                <c:pt idx="0">
                  <c:v>常住人口</c:v>
                </c:pt>
              </c:strCache>
            </c:strRef>
          </c:tx>
          <c:spPr>
            <a:ln w="2540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1"/>
                </a:solidFill>
                <a:prstDash val="sysDot"/>
              </a:ln>
              <a:effectLst/>
            </c:spPr>
            <c:trendlineType val="poly"/>
            <c:order val="2"/>
            <c:dispRSqr val="0"/>
            <c:dispEq val="0"/>
          </c:trendline>
          <c:xVal>
            <c:numRef>
              <c:f>历年人口建面数据!$C$1:$V$1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历年人口建面数据!$C$18:$V$18</c:f>
              <c:numCache>
                <c:formatCode>General</c:formatCode>
                <c:ptCount val="20"/>
                <c:pt idx="0">
                  <c:v>720.4</c:v>
                </c:pt>
                <c:pt idx="5">
                  <c:v>744</c:v>
                </c:pt>
                <c:pt idx="9">
                  <c:v>786</c:v>
                </c:pt>
                <c:pt idx="10">
                  <c:v>810.6</c:v>
                </c:pt>
                <c:pt idx="11">
                  <c:v>818</c:v>
                </c:pt>
                <c:pt idx="12">
                  <c:v>822.8</c:v>
                </c:pt>
                <c:pt idx="13">
                  <c:v>825.7</c:v>
                </c:pt>
                <c:pt idx="14">
                  <c:v>828.7</c:v>
                </c:pt>
                <c:pt idx="15">
                  <c:v>829.1</c:v>
                </c:pt>
                <c:pt idx="16">
                  <c:v>829.2</c:v>
                </c:pt>
                <c:pt idx="17">
                  <c:v>829.4</c:v>
                </c:pt>
                <c:pt idx="18">
                  <c:v>831.6</c:v>
                </c:pt>
                <c:pt idx="19">
                  <c:v>832.2</c:v>
                </c:pt>
              </c:numCache>
            </c:numRef>
          </c:yVal>
          <c:smooth val="0"/>
        </c:ser>
        <c:ser>
          <c:idx val="1"/>
          <c:order val="1"/>
          <c:tx>
            <c:strRef>
              <c:f>历年人口建面数据!$B$19</c:f>
              <c:strCache>
                <c:ptCount val="1"/>
                <c:pt idx="0">
                  <c:v>城镇总人口数</c:v>
                </c:pt>
              </c:strCache>
            </c:strRef>
          </c:tx>
          <c:spPr>
            <a:ln w="25400" cap="rnd">
              <a:noFill/>
              <a:round/>
            </a:ln>
            <a:effectLst/>
          </c:spPr>
          <c:marker>
            <c:symbol val="circle"/>
            <c:size val="5"/>
            <c:spPr>
              <a:solidFill>
                <a:schemeClr val="accent2"/>
              </a:solidFill>
              <a:ln w="9525">
                <a:solidFill>
                  <a:schemeClr val="accent2"/>
                </a:solidFill>
              </a:ln>
              <a:effectLst/>
            </c:spPr>
          </c:marker>
          <c:dLbls>
            <c:delete val="1"/>
          </c:dLbls>
          <c:trendline>
            <c:spPr>
              <a:ln w="19050" cap="rnd">
                <a:solidFill>
                  <a:schemeClr val="accent2"/>
                </a:solidFill>
                <a:prstDash val="sysDot"/>
              </a:ln>
              <a:effectLst/>
            </c:spPr>
            <c:trendlineType val="poly"/>
            <c:order val="2"/>
            <c:dispRSqr val="0"/>
            <c:dispEq val="0"/>
          </c:trendline>
          <c:xVal>
            <c:numRef>
              <c:f>历年人口建面数据!$C$1:$V$1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历年人口建面数据!$C$19:$V$19</c:f>
              <c:numCache>
                <c:formatCode>General</c:formatCode>
                <c:ptCount val="20"/>
                <c:pt idx="0">
                  <c:v>626.4</c:v>
                </c:pt>
                <c:pt idx="1">
                  <c:v>532.9</c:v>
                </c:pt>
                <c:pt idx="2">
                  <c:v>533.8</c:v>
                </c:pt>
                <c:pt idx="3">
                  <c:v>573.5</c:v>
                </c:pt>
                <c:pt idx="4">
                  <c:v>580.8</c:v>
                </c:pt>
                <c:pt idx="5">
                  <c:v>584.5</c:v>
                </c:pt>
                <c:pt idx="6">
                  <c:v>590.5</c:v>
                </c:pt>
                <c:pt idx="7">
                  <c:v>599.7</c:v>
                </c:pt>
                <c:pt idx="8">
                  <c:v>587.5</c:v>
                </c:pt>
                <c:pt idx="10">
                  <c:v>624.8</c:v>
                </c:pt>
                <c:pt idx="11">
                  <c:v>643.2</c:v>
                </c:pt>
                <c:pt idx="12">
                  <c:v>656.8</c:v>
                </c:pt>
                <c:pt idx="13">
                  <c:v>662.3</c:v>
                </c:pt>
                <c:pt idx="14">
                  <c:v>666.3</c:v>
                </c:pt>
                <c:pt idx="15">
                  <c:v>667.8</c:v>
                </c:pt>
                <c:pt idx="16">
                  <c:v>667.9</c:v>
                </c:pt>
                <c:pt idx="17">
                  <c:v>668.2</c:v>
                </c:pt>
                <c:pt idx="18">
                  <c:v>673.6</c:v>
                </c:pt>
                <c:pt idx="19">
                  <c:v>674.1</c:v>
                </c:pt>
              </c:numCache>
            </c:numRef>
          </c:yVal>
          <c:smooth val="0"/>
        </c:ser>
        <c:ser>
          <c:idx val="2"/>
          <c:order val="2"/>
          <c:tx>
            <c:strRef>
              <c:f>历年人口建面数据!$B$20</c:f>
              <c:strCache>
                <c:ptCount val="1"/>
                <c:pt idx="0">
                  <c:v>农村总人口数</c:v>
                </c:pt>
              </c:strCache>
            </c:strRef>
          </c:tx>
          <c:spPr>
            <a:ln w="25400" cap="rnd">
              <a:noFill/>
              <a:round/>
            </a:ln>
            <a:effectLst/>
          </c:spPr>
          <c:marker>
            <c:symbol val="circle"/>
            <c:size val="5"/>
            <c:spPr>
              <a:solidFill>
                <a:schemeClr val="accent3"/>
              </a:solidFill>
              <a:ln w="9525">
                <a:solidFill>
                  <a:schemeClr val="accent3"/>
                </a:solidFill>
              </a:ln>
              <a:effectLst/>
            </c:spPr>
          </c:marker>
          <c:dLbls>
            <c:delete val="1"/>
          </c:dLbls>
          <c:trendline>
            <c:spPr>
              <a:ln w="19050" cap="rnd">
                <a:solidFill>
                  <a:schemeClr val="accent3"/>
                </a:solidFill>
                <a:prstDash val="sysDot"/>
              </a:ln>
              <a:effectLst/>
            </c:spPr>
            <c:trendlineType val="poly"/>
            <c:order val="2"/>
            <c:dispRSqr val="0"/>
            <c:dispEq val="0"/>
          </c:trendline>
          <c:xVal>
            <c:numRef>
              <c:f>历年人口建面数据!$C$1:$V$1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历年人口建面数据!$C$20:$V$20</c:f>
              <c:numCache>
                <c:formatCode>General</c:formatCode>
                <c:ptCount val="20"/>
                <c:pt idx="0">
                  <c:v>94</c:v>
                </c:pt>
                <c:pt idx="5">
                  <c:v>159.5</c:v>
                </c:pt>
                <c:pt idx="10">
                  <c:v>185.8</c:v>
                </c:pt>
                <c:pt idx="11">
                  <c:v>174.8</c:v>
                </c:pt>
                <c:pt idx="12">
                  <c:v>166</c:v>
                </c:pt>
                <c:pt idx="13">
                  <c:v>163.4</c:v>
                </c:pt>
                <c:pt idx="15">
                  <c:v>161.3</c:v>
                </c:pt>
                <c:pt idx="16">
                  <c:v>161.3</c:v>
                </c:pt>
                <c:pt idx="17">
                  <c:v>161.2</c:v>
                </c:pt>
                <c:pt idx="18">
                  <c:v>158</c:v>
                </c:pt>
                <c:pt idx="19">
                  <c:v>158.1</c:v>
                </c:pt>
              </c:numCache>
            </c:numRef>
          </c:yVal>
          <c:smooth val="0"/>
        </c:ser>
        <c:dLbls>
          <c:showLegendKey val="0"/>
          <c:showVal val="0"/>
          <c:showCatName val="0"/>
          <c:showSerName val="0"/>
          <c:showPercent val="0"/>
          <c:showBubbleSize val="0"/>
        </c:dLbls>
        <c:axId val="194689616"/>
        <c:axId val="1778821232"/>
      </c:scatterChart>
      <c:valAx>
        <c:axId val="194689616"/>
        <c:scaling>
          <c:orientation val="minMax"/>
          <c:min val="20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8821232"/>
        <c:crosses val="autoZero"/>
        <c:crossBetween val="midCat"/>
      </c:valAx>
      <c:valAx>
        <c:axId val="177882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689616"/>
        <c:crosses val="autoZero"/>
        <c:crossBetween val="midCat"/>
      </c:valAx>
      <c:spPr>
        <a:noFill/>
        <a:ln>
          <a:noFill/>
        </a:ln>
        <a:effectLst/>
      </c:spPr>
    </c:plotArea>
    <c:legend>
      <c:legendPos val="b"/>
      <c:legendEntry>
        <c:idx val="3"/>
        <c:delete val="1"/>
      </c:legendEntry>
      <c:legendEntry>
        <c:idx val="4"/>
        <c:delete val="1"/>
      </c:legendEntry>
      <c:legendEntry>
        <c:idx val="5"/>
        <c:delete val="1"/>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6a017a-baab-4111-bb55-ccffb6b853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'城市建设-能源 图表'!$H$6</c:f>
              <c:strCache>
                <c:ptCount val="1"/>
                <c:pt idx="0">
                  <c:v>热电厂</c:v>
                </c:pt>
              </c:strCache>
            </c:strRef>
          </c:tx>
          <c:spPr>
            <a:solidFill>
              <a:schemeClr val="accent1"/>
            </a:solidFill>
            <a:ln>
              <a:noFill/>
            </a:ln>
            <a:effectLst/>
          </c:spPr>
          <c:dLbls>
            <c:delete val="1"/>
          </c:dLbls>
          <c:cat>
            <c:numRef>
              <c:f>'城市建设-能源 图表'!$G$7:$G$24</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cat>
          <c:val>
            <c:numRef>
              <c:f>'城市建设-能源 图表'!$H$7:$H$24</c:f>
              <c:numCache>
                <c:formatCode>General</c:formatCode>
                <c:ptCount val="18"/>
                <c:pt idx="0">
                  <c:v>16</c:v>
                </c:pt>
                <c:pt idx="1">
                  <c:v>21</c:v>
                </c:pt>
                <c:pt idx="2">
                  <c:v>29</c:v>
                </c:pt>
                <c:pt idx="3">
                  <c:v>43</c:v>
                </c:pt>
                <c:pt idx="4">
                  <c:v>33</c:v>
                </c:pt>
                <c:pt idx="5" c:formatCode="0_ ">
                  <c:v>37</c:v>
                </c:pt>
                <c:pt idx="6" c:formatCode="0_ ">
                  <c:v>37</c:v>
                </c:pt>
                <c:pt idx="7" c:formatCode="0_ ">
                  <c:v>40</c:v>
                </c:pt>
                <c:pt idx="8" c:formatCode="0">
                  <c:v>43</c:v>
                </c:pt>
                <c:pt idx="9" c:formatCode="0">
                  <c:v>45</c:v>
                </c:pt>
                <c:pt idx="10" c:formatCode="0">
                  <c:v>48</c:v>
                </c:pt>
                <c:pt idx="11" c:formatCode="0">
                  <c:v>50</c:v>
                </c:pt>
                <c:pt idx="12" c:formatCode="0">
                  <c:v>53</c:v>
                </c:pt>
                <c:pt idx="13" c:formatCode="0">
                  <c:v>56</c:v>
                </c:pt>
                <c:pt idx="14" c:formatCode="0">
                  <c:v>59</c:v>
                </c:pt>
                <c:pt idx="15" c:formatCode="0">
                  <c:v>62</c:v>
                </c:pt>
                <c:pt idx="16" c:formatCode="0">
                  <c:v>65</c:v>
                </c:pt>
                <c:pt idx="17" c:formatCode="0">
                  <c:v>65</c:v>
                </c:pt>
              </c:numCache>
            </c:numRef>
          </c:val>
        </c:ser>
        <c:ser>
          <c:idx val="1"/>
          <c:order val="1"/>
          <c:tx>
            <c:strRef>
              <c:f>'城市建设-能源 图表'!$I$6</c:f>
              <c:strCache>
                <c:ptCount val="1"/>
                <c:pt idx="0">
                  <c:v>锅炉房</c:v>
                </c:pt>
              </c:strCache>
            </c:strRef>
          </c:tx>
          <c:spPr>
            <a:solidFill>
              <a:schemeClr val="accent2"/>
            </a:solidFill>
            <a:ln>
              <a:noFill/>
            </a:ln>
            <a:effectLst/>
          </c:spPr>
          <c:dLbls>
            <c:delete val="1"/>
          </c:dLbls>
          <c:cat>
            <c:numRef>
              <c:f>'城市建设-能源 图表'!$G$7:$G$24</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cat>
          <c:val>
            <c:numRef>
              <c:f>'城市建设-能源 图表'!$I$7:$I$24</c:f>
              <c:numCache>
                <c:formatCode>General</c:formatCode>
                <c:ptCount val="18"/>
                <c:pt idx="0">
                  <c:v>31</c:v>
                </c:pt>
                <c:pt idx="1">
                  <c:v>42</c:v>
                </c:pt>
                <c:pt idx="2">
                  <c:v>59</c:v>
                </c:pt>
                <c:pt idx="3">
                  <c:v>91</c:v>
                </c:pt>
                <c:pt idx="4">
                  <c:v>83</c:v>
                </c:pt>
                <c:pt idx="5" c:formatCode="0_ ">
                  <c:v>101</c:v>
                </c:pt>
                <c:pt idx="6" c:formatCode="0_ ">
                  <c:v>113</c:v>
                </c:pt>
                <c:pt idx="7" c:formatCode="0_ ">
                  <c:v>124</c:v>
                </c:pt>
                <c:pt idx="8" c:formatCode="0">
                  <c:v>136</c:v>
                </c:pt>
                <c:pt idx="9" c:formatCode="0">
                  <c:v>144</c:v>
                </c:pt>
                <c:pt idx="10" c:formatCode="0">
                  <c:v>152</c:v>
                </c:pt>
                <c:pt idx="11" c:formatCode="0">
                  <c:v>155</c:v>
                </c:pt>
                <c:pt idx="12" c:formatCode="0">
                  <c:v>158</c:v>
                </c:pt>
                <c:pt idx="13" c:formatCode="0">
                  <c:v>162</c:v>
                </c:pt>
                <c:pt idx="14" c:formatCode="0">
                  <c:v>168</c:v>
                </c:pt>
                <c:pt idx="15" c:formatCode="0">
                  <c:v>175</c:v>
                </c:pt>
                <c:pt idx="16" c:formatCode="0">
                  <c:v>182</c:v>
                </c:pt>
                <c:pt idx="17" c:formatCode="0">
                  <c:v>182</c:v>
                </c:pt>
              </c:numCache>
            </c:numRef>
          </c:val>
        </c:ser>
        <c:dLbls>
          <c:showLegendKey val="0"/>
          <c:showVal val="0"/>
          <c:showCatName val="0"/>
          <c:showSerName val="0"/>
          <c:showPercent val="0"/>
          <c:showBubbleSize val="0"/>
        </c:dLbls>
        <c:axId val="-1496084832"/>
        <c:axId val="-1496084288"/>
      </c:areaChart>
      <c:catAx>
        <c:axId val="-149608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6084288"/>
        <c:crosses val="autoZero"/>
        <c:auto val="1"/>
        <c:lblAlgn val="ctr"/>
        <c:lblOffset val="100"/>
        <c:noMultiLvlLbl val="0"/>
      </c:catAx>
      <c:valAx>
        <c:axId val="-149608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6084832"/>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zero"/>
    <c:showDLblsOverMax val="0"/>
    <c:extLst>
      <c:ext uri="{0b15fc19-7d7d-44ad-8c2d-2c3a37ce22c3}">
        <chartProps xmlns="https://web.wps.cn/et/2018/main" chartId="{b09ac89e-3471-4822-8b35-43ba4bf4f7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'城市建设-能源 图表'!$J$6</c:f>
              <c:strCache>
                <c:ptCount val="1"/>
                <c:pt idx="0">
                  <c:v>热电厂</c:v>
                </c:pt>
              </c:strCache>
            </c:strRef>
          </c:tx>
          <c:spPr>
            <a:solidFill>
              <a:schemeClr val="accent1"/>
            </a:solidFill>
            <a:ln w="25400">
              <a:noFill/>
            </a:ln>
            <a:effectLst/>
          </c:spPr>
          <c:dLbls>
            <c:delete val="1"/>
          </c:dLbls>
          <c:cat>
            <c:numRef>
              <c:f>'城市建设-能源 图表'!$G$7:$G$24</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cat>
          <c:val>
            <c:numRef>
              <c:f>'城市建设-能源 图表'!$J$7:$J$24</c:f>
              <c:numCache>
                <c:formatCode>General</c:formatCode>
                <c:ptCount val="18"/>
                <c:pt idx="0">
                  <c:v>1124</c:v>
                </c:pt>
                <c:pt idx="1">
                  <c:v>1365</c:v>
                </c:pt>
                <c:pt idx="2">
                  <c:v>1642</c:v>
                </c:pt>
                <c:pt idx="3">
                  <c:v>2668</c:v>
                </c:pt>
                <c:pt idx="4">
                  <c:v>2006</c:v>
                </c:pt>
                <c:pt idx="5" c:formatCode="0_ ">
                  <c:v>2033</c:v>
                </c:pt>
                <c:pt idx="6" c:formatCode="0_ ">
                  <c:v>2268</c:v>
                </c:pt>
                <c:pt idx="7" c:formatCode="0_ ">
                  <c:v>2488</c:v>
                </c:pt>
                <c:pt idx="8" c:formatCode="0">
                  <c:v>2739</c:v>
                </c:pt>
                <c:pt idx="9" c:formatCode="0">
                  <c:v>9711</c:v>
                </c:pt>
                <c:pt idx="10" c:formatCode="0">
                  <c:v>3147</c:v>
                </c:pt>
                <c:pt idx="11" c:formatCode="0">
                  <c:v>3255</c:v>
                </c:pt>
                <c:pt idx="12" c:formatCode="0">
                  <c:v>3498</c:v>
                </c:pt>
                <c:pt idx="13" c:formatCode="0">
                  <c:v>3760</c:v>
                </c:pt>
                <c:pt idx="14" c:formatCode="0">
                  <c:v>13678.05</c:v>
                </c:pt>
                <c:pt idx="15" c:formatCode="0">
                  <c:v>4411</c:v>
                </c:pt>
                <c:pt idx="16" c:formatCode="0">
                  <c:v>4719</c:v>
                </c:pt>
                <c:pt idx="17" c:formatCode="0">
                  <c:v>4719</c:v>
                </c:pt>
              </c:numCache>
            </c:numRef>
          </c:val>
        </c:ser>
        <c:ser>
          <c:idx val="1"/>
          <c:order val="1"/>
          <c:tx>
            <c:strRef>
              <c:f>'城市建设-能源 图表'!$K$6</c:f>
              <c:strCache>
                <c:ptCount val="1"/>
                <c:pt idx="0">
                  <c:v>锅炉房</c:v>
                </c:pt>
              </c:strCache>
            </c:strRef>
          </c:tx>
          <c:spPr>
            <a:solidFill>
              <a:schemeClr val="accent2"/>
            </a:solidFill>
            <a:ln w="25400">
              <a:noFill/>
            </a:ln>
            <a:effectLst/>
          </c:spPr>
          <c:dLbls>
            <c:delete val="1"/>
          </c:dLbls>
          <c:cat>
            <c:numRef>
              <c:f>'城市建设-能源 图表'!$G$7:$G$24</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cat>
          <c:val>
            <c:numRef>
              <c:f>'城市建设-能源 图表'!$K$7:$K$24</c:f>
              <c:numCache>
                <c:formatCode>General</c:formatCode>
                <c:ptCount val="18"/>
                <c:pt idx="0">
                  <c:v>1571</c:v>
                </c:pt>
                <c:pt idx="1">
                  <c:v>1794</c:v>
                </c:pt>
                <c:pt idx="2">
                  <c:v>2463</c:v>
                </c:pt>
                <c:pt idx="3">
                  <c:v>3502</c:v>
                </c:pt>
                <c:pt idx="4">
                  <c:v>3924</c:v>
                </c:pt>
                <c:pt idx="5" c:formatCode="0_ ">
                  <c:v>4889</c:v>
                </c:pt>
                <c:pt idx="6" c:formatCode="0_ ">
                  <c:v>5394</c:v>
                </c:pt>
                <c:pt idx="7" c:formatCode="0_ ">
                  <c:v>5884</c:v>
                </c:pt>
                <c:pt idx="8" c:formatCode="0">
                  <c:v>6425</c:v>
                </c:pt>
                <c:pt idx="9" c:formatCode="0">
                  <c:v>2913</c:v>
                </c:pt>
                <c:pt idx="10" c:formatCode="0">
                  <c:v>7307</c:v>
                </c:pt>
                <c:pt idx="11" c:formatCode="0">
                  <c:v>7648</c:v>
                </c:pt>
                <c:pt idx="12" c:formatCode="0">
                  <c:v>8168</c:v>
                </c:pt>
                <c:pt idx="13" c:formatCode="0">
                  <c:v>8734</c:v>
                </c:pt>
                <c:pt idx="14" c:formatCode="0">
                  <c:v>4096</c:v>
                </c:pt>
                <c:pt idx="15" c:formatCode="0">
                  <c:v>10526</c:v>
                </c:pt>
                <c:pt idx="16" c:formatCode="0">
                  <c:v>11403.23</c:v>
                </c:pt>
                <c:pt idx="17" c:formatCode="0">
                  <c:v>11714.26</c:v>
                </c:pt>
              </c:numCache>
            </c:numRef>
          </c:val>
        </c:ser>
        <c:dLbls>
          <c:showLegendKey val="0"/>
          <c:showVal val="0"/>
          <c:showCatName val="0"/>
          <c:showSerName val="0"/>
          <c:showPercent val="0"/>
          <c:showBubbleSize val="0"/>
        </c:dLbls>
        <c:axId val="-2005667200"/>
        <c:axId val="-2005671008"/>
      </c:areaChart>
      <c:catAx>
        <c:axId val="-200566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5671008"/>
        <c:crosses val="autoZero"/>
        <c:auto val="1"/>
        <c:lblAlgn val="ctr"/>
        <c:lblOffset val="100"/>
        <c:noMultiLvlLbl val="0"/>
      </c:catAx>
      <c:valAx>
        <c:axId val="-2005671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5667200"/>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zero"/>
    <c:showDLblsOverMax val="0"/>
    <c:extLst>
      <c:ext uri="{0b15fc19-7d7d-44ad-8c2d-2c3a37ce22c3}">
        <chartProps xmlns="https://web.wps.cn/et/2018/main" chartId="{1abdacd0-de41-4aa7-9336-5aa19da2a291}"/>
      </c:ext>
    </c:extLst>
  </c:chart>
  <c:spPr>
    <a:solidFill>
      <a:schemeClr val="bg1"/>
    </a:solidFill>
    <a:ln w="9525" cap="flat" cmpd="sng" algn="ctr">
      <a:solidFill>
        <a:schemeClr val="tx1">
          <a:lumMod val="15000"/>
          <a:lumOff val="85000"/>
        </a:schemeClr>
      </a:solidFill>
      <a:round/>
    </a:ln>
    <a:effectLst/>
  </c:spPr>
  <c:txPr>
    <a:bodyPr/>
    <a:lstStyle/>
    <a:p>
      <a:pPr algn="l">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'城市建设-能源 图表'!$S$14</c:f>
              <c:strCache>
                <c:ptCount val="1"/>
                <c:pt idx="0">
                  <c:v>    第三产业</c:v>
                </c:pt>
              </c:strCache>
            </c:strRef>
          </c:tx>
          <c:spPr>
            <a:solidFill>
              <a:schemeClr val="accent1"/>
            </a:solidFill>
            <a:ln>
              <a:noFill/>
            </a:ln>
            <a:effectLst/>
          </c:spPr>
          <c:invertIfNegative val="0"/>
          <c:dLbls>
            <c:delete val="1"/>
          </c:dLbls>
          <c:cat>
            <c:numRef>
              <c:f>'城市建设-能源 图表'!$R$15:$R$24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图表'!$S$15:$S$24</c:f>
              <c:numCache>
                <c:formatCode>0</c:formatCode>
                <c:ptCount val="10"/>
                <c:pt idx="0">
                  <c:v>532281</c:v>
                </c:pt>
                <c:pt idx="1">
                  <c:v>620080</c:v>
                </c:pt>
                <c:pt idx="2">
                  <c:v>685730</c:v>
                </c:pt>
                <c:pt idx="3">
                  <c:v>766318</c:v>
                </c:pt>
                <c:pt idx="4">
                  <c:v>798737</c:v>
                </c:pt>
                <c:pt idx="5">
                  <c:v>858348</c:v>
                </c:pt>
                <c:pt idx="6">
                  <c:v>923285</c:v>
                </c:pt>
                <c:pt idx="7">
                  <c:v>974114</c:v>
                </c:pt>
                <c:pt idx="8">
                  <c:v>1075977</c:v>
                </c:pt>
                <c:pt idx="9">
                  <c:v>1134117</c:v>
                </c:pt>
              </c:numCache>
            </c:numRef>
          </c:val>
        </c:ser>
        <c:ser>
          <c:idx val="1"/>
          <c:order val="1"/>
          <c:tx>
            <c:strRef>
              <c:f>'城市建设-能源 图表'!$T$14</c:f>
              <c:strCache>
                <c:ptCount val="1"/>
                <c:pt idx="0">
                  <c:v>B、城乡居民生活用电合计</c:v>
                </c:pt>
              </c:strCache>
            </c:strRef>
          </c:tx>
          <c:spPr>
            <a:solidFill>
              <a:schemeClr val="accent2"/>
            </a:solidFill>
            <a:ln>
              <a:noFill/>
            </a:ln>
            <a:effectLst/>
          </c:spPr>
          <c:invertIfNegative val="0"/>
          <c:dLbls>
            <c:delete val="1"/>
          </c:dLbls>
          <c:cat>
            <c:numRef>
              <c:f>'城市建设-能源 图表'!$R$15:$R$24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图表'!$T$15:$T$24</c:f>
            </c:numRef>
          </c:val>
        </c:ser>
        <c:ser>
          <c:idx val="2"/>
          <c:order val="2"/>
          <c:tx>
            <c:strRef>
              <c:f>'城市建设-能源 图表'!$U$14</c:f>
              <c:strCache>
                <c:ptCount val="1"/>
                <c:pt idx="0">
                  <c:v>    城镇居民</c:v>
                </c:pt>
              </c:strCache>
            </c:strRef>
          </c:tx>
          <c:spPr>
            <a:solidFill>
              <a:schemeClr val="accent3"/>
            </a:solidFill>
            <a:ln>
              <a:noFill/>
            </a:ln>
            <a:effectLst/>
          </c:spPr>
          <c:invertIfNegative val="0"/>
          <c:dLbls>
            <c:delete val="1"/>
          </c:dLbls>
          <c:cat>
            <c:numRef>
              <c:f>'城市建设-能源 图表'!$R$15:$R$24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图表'!$U$15:$U$24</c:f>
              <c:numCache>
                <c:formatCode>0</c:formatCode>
                <c:ptCount val="10"/>
                <c:pt idx="0">
                  <c:v>365993</c:v>
                </c:pt>
                <c:pt idx="1">
                  <c:v>358343</c:v>
                </c:pt>
                <c:pt idx="2">
                  <c:v>377122</c:v>
                </c:pt>
                <c:pt idx="3">
                  <c:v>399512</c:v>
                </c:pt>
                <c:pt idx="4">
                  <c:v>402091</c:v>
                </c:pt>
                <c:pt idx="5">
                  <c:v>434982</c:v>
                </c:pt>
                <c:pt idx="6">
                  <c:v>461015</c:v>
                </c:pt>
                <c:pt idx="7">
                  <c:v>481597</c:v>
                </c:pt>
                <c:pt idx="8">
                  <c:v>510217</c:v>
                </c:pt>
                <c:pt idx="9">
                  <c:v>539039</c:v>
                </c:pt>
              </c:numCache>
            </c:numRef>
          </c:val>
        </c:ser>
        <c:ser>
          <c:idx val="3"/>
          <c:order val="3"/>
          <c:tx>
            <c:strRef>
              <c:f>'城市建设-能源 图表'!$V$14</c:f>
              <c:strCache>
                <c:ptCount val="1"/>
                <c:pt idx="0">
                  <c:v>    乡村居民</c:v>
                </c:pt>
              </c:strCache>
            </c:strRef>
          </c:tx>
          <c:spPr>
            <a:solidFill>
              <a:schemeClr val="accent4"/>
            </a:solidFill>
            <a:ln>
              <a:noFill/>
            </a:ln>
            <a:effectLst/>
          </c:spPr>
          <c:invertIfNegative val="0"/>
          <c:dLbls>
            <c:delete val="1"/>
          </c:dLbls>
          <c:cat>
            <c:numRef>
              <c:f>'城市建设-能源 图表'!$R$15:$R$24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图表'!$V$15:$V$24</c:f>
              <c:numCache>
                <c:formatCode>0</c:formatCode>
                <c:ptCount val="10"/>
                <c:pt idx="0">
                  <c:v>84696</c:v>
                </c:pt>
                <c:pt idx="1">
                  <c:v>86558</c:v>
                </c:pt>
                <c:pt idx="2">
                  <c:v>87822</c:v>
                </c:pt>
                <c:pt idx="3">
                  <c:v>90079</c:v>
                </c:pt>
                <c:pt idx="4">
                  <c:v>90987</c:v>
                </c:pt>
                <c:pt idx="5">
                  <c:v>101719</c:v>
                </c:pt>
                <c:pt idx="6">
                  <c:v>112353</c:v>
                </c:pt>
                <c:pt idx="7">
                  <c:v>124106</c:v>
                </c:pt>
                <c:pt idx="8">
                  <c:v>130686</c:v>
                </c:pt>
                <c:pt idx="9">
                  <c:v>145221</c:v>
                </c:pt>
              </c:numCache>
            </c:numRef>
          </c:val>
        </c:ser>
        <c:dLbls>
          <c:showLegendKey val="0"/>
          <c:showVal val="0"/>
          <c:showCatName val="0"/>
          <c:showSerName val="0"/>
          <c:showPercent val="0"/>
          <c:showBubbleSize val="0"/>
        </c:dLbls>
        <c:gapWidth val="150"/>
        <c:overlap val="100"/>
        <c:axId val="-2009648448"/>
        <c:axId val="-2009649536"/>
      </c:barChart>
      <c:catAx>
        <c:axId val="-20096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9649536"/>
        <c:crosses val="autoZero"/>
        <c:auto val="1"/>
        <c:lblAlgn val="ctr"/>
        <c:lblOffset val="100"/>
        <c:noMultiLvlLbl val="0"/>
      </c:catAx>
      <c:valAx>
        <c:axId val="-2009649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9648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a2f8f4c-2b53-406d-a813-d9d891c76c4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'城市建设-能源 图表'!$AC$14</c:f>
              <c:strCache>
                <c:ptCount val="1"/>
                <c:pt idx="0">
                  <c:v>    第三产业</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'城市建设-能源 图表'!$AB$15:$AB$24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图表'!$AC$15:$AC$24</c:f>
              <c:numCache>
                <c:formatCode>0%</c:formatCode>
                <c:ptCount val="10"/>
                <c:pt idx="0">
                  <c:v>0.54150279255725</c:v>
                </c:pt>
                <c:pt idx="1">
                  <c:v>0.582245129255827</c:v>
                </c:pt>
                <c:pt idx="2">
                  <c:v>0.595937685217533</c:v>
                </c:pt>
                <c:pt idx="3">
                  <c:v>0.610170004355411</c:v>
                </c:pt>
                <c:pt idx="4">
                  <c:v>0.618306026791762</c:v>
                </c:pt>
                <c:pt idx="5">
                  <c:v>0.615281613764104</c:v>
                </c:pt>
                <c:pt idx="6">
                  <c:v>0.616899842515266</c:v>
                </c:pt>
                <c:pt idx="7">
                  <c:v>0.616599264345174</c:v>
                </c:pt>
                <c:pt idx="8">
                  <c:v>0.62670483668049</c:v>
                </c:pt>
                <c:pt idx="9">
                  <c:v>0.62369739608453</c:v>
                </c:pt>
              </c:numCache>
            </c:numRef>
          </c:val>
        </c:ser>
        <c:ser>
          <c:idx val="1"/>
          <c:order val="1"/>
          <c:tx>
            <c:strRef>
              <c:f>'城市建设-能源 图表'!$AD$14</c:f>
              <c:strCache>
                <c:ptCount val="1"/>
                <c:pt idx="0">
                  <c:v>    城镇居民</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'城市建设-能源 图表'!$AB$15:$AB$24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图表'!$AD$15:$AD$24</c:f>
              <c:numCache>
                <c:formatCode>0%</c:formatCode>
                <c:ptCount val="10"/>
                <c:pt idx="0">
                  <c:v>0.37233384538694</c:v>
                </c:pt>
                <c:pt idx="1">
                  <c:v>0.336478303368792</c:v>
                </c:pt>
                <c:pt idx="2">
                  <c:v>0.327740089721329</c:v>
                </c:pt>
                <c:pt idx="3">
                  <c:v>0.318105850025758</c:v>
                </c:pt>
                <c:pt idx="4">
                  <c:v>0.311260513308794</c:v>
                </c:pt>
                <c:pt idx="5">
                  <c:v>0.311804101504678</c:v>
                </c:pt>
                <c:pt idx="6">
                  <c:v>0.308030652395712</c:v>
                </c:pt>
                <c:pt idx="7">
                  <c:v>0.304843535675335</c:v>
                </c:pt>
                <c:pt idx="8">
                  <c:v>0.29717685569172</c:v>
                </c:pt>
                <c:pt idx="9">
                  <c:v>0.296439627206019</c:v>
                </c:pt>
              </c:numCache>
            </c:numRef>
          </c:val>
        </c:ser>
        <c:ser>
          <c:idx val="2"/>
          <c:order val="2"/>
          <c:tx>
            <c:strRef>
              <c:f>'城市建设-能源 图表'!$AE$14</c:f>
              <c:strCache>
                <c:ptCount val="1"/>
                <c:pt idx="0">
                  <c:v>    乡村居民</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'城市建设-能源 图表'!$AB$15:$AB$24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图表'!$AE$15:$AE$24</c:f>
              <c:numCache>
                <c:formatCode>0%</c:formatCode>
                <c:ptCount val="10"/>
                <c:pt idx="0">
                  <c:v>0.0861633620558104</c:v>
                </c:pt>
                <c:pt idx="1">
                  <c:v>0.0812765673753804</c:v>
                </c:pt>
                <c:pt idx="2">
                  <c:v>0.0763222250611381</c:v>
                </c:pt>
                <c:pt idx="3">
                  <c:v>0.0717241456188307</c:v>
                </c:pt>
                <c:pt idx="4">
                  <c:v>0.0704334598994438</c:v>
                </c:pt>
                <c:pt idx="5">
                  <c:v>0.0729142847312173</c:v>
                </c:pt>
                <c:pt idx="6">
                  <c:v>0.075069505089022</c:v>
                </c:pt>
                <c:pt idx="7">
                  <c:v>0.0785571999794913</c:v>
                </c:pt>
                <c:pt idx="8">
                  <c:v>0.0761183076277899</c:v>
                </c:pt>
                <c:pt idx="9">
                  <c:v>0.0798629767094502</c:v>
                </c:pt>
              </c:numCache>
            </c:numRef>
          </c:val>
        </c:ser>
        <c:dLbls>
          <c:showLegendKey val="0"/>
          <c:showVal val="1"/>
          <c:showCatName val="0"/>
          <c:showSerName val="0"/>
          <c:showPercent val="0"/>
          <c:showBubbleSize val="0"/>
        </c:dLbls>
        <c:gapWidth val="79"/>
        <c:overlap val="100"/>
        <c:axId val="-2009653888"/>
        <c:axId val="-2009647360"/>
      </c:barChart>
      <c:catAx>
        <c:axId val="-2009653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2009647360"/>
        <c:crosses val="autoZero"/>
        <c:auto val="1"/>
        <c:lblAlgn val="ctr"/>
        <c:lblOffset val="100"/>
        <c:noMultiLvlLbl val="0"/>
      </c:catAx>
      <c:valAx>
        <c:axId val="-2009647360"/>
        <c:scaling>
          <c:orientation val="minMax"/>
          <c:max val="1"/>
        </c:scaling>
        <c:delete val="1"/>
        <c:axPos val="l"/>
        <c:numFmt formatCode="0%" sourceLinked="0"/>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9653888"/>
        <c:crosses val="autoZero"/>
        <c:crossBetween val="between"/>
        <c:majorUnit val="0.2"/>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e0e775c-388b-47a2-a1c1-4743e7157cfc}"/>
      </c:ext>
    </c:extLst>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'城市建设-能源 图表'!$AH$14</c:f>
              <c:strCache>
                <c:ptCount val="1"/>
                <c:pt idx="0">
                  <c:v>公共建筑</c:v>
                </c:pt>
              </c:strCache>
            </c:strRef>
          </c:tx>
          <c:spPr>
            <a:ln w="28575" cap="rnd">
              <a:solidFill>
                <a:schemeClr val="accent1"/>
              </a:solidFill>
              <a:round/>
            </a:ln>
            <a:effectLst/>
          </c:spPr>
          <c:marker>
            <c:symbol val="none"/>
          </c:marker>
          <c:dLbls>
            <c:delete val="1"/>
          </c:dLbls>
          <c:cat>
            <c:numRef>
              <c:f>'城市建设-能源 图表'!$AG$15:$AG$23</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'城市建设-能源 图表'!$AH$15:$AH$23</c:f>
              <c:numCache>
                <c:formatCode>General</c:formatCode>
                <c:ptCount val="9"/>
                <c:pt idx="0">
                  <c:v>0.164948589185036</c:v>
                </c:pt>
                <c:pt idx="1">
                  <c:v>0.105873435685718</c:v>
                </c:pt>
                <c:pt idx="2">
                  <c:v>0.117521473466233</c:v>
                </c:pt>
                <c:pt idx="3">
                  <c:v>0.0423048917029223</c:v>
                </c:pt>
                <c:pt idx="4">
                  <c:v>0.0746315745983972</c:v>
                </c:pt>
                <c:pt idx="5">
                  <c:v>0.0756534645621589</c:v>
                </c:pt>
                <c:pt idx="6">
                  <c:v>0.0550523402849608</c:v>
                </c:pt>
                <c:pt idx="7">
                  <c:v>0.104569896336568</c:v>
                </c:pt>
                <c:pt idx="8">
                  <c:v>0.0540346122640168</c:v>
                </c:pt>
              </c:numCache>
            </c:numRef>
          </c:val>
          <c:smooth val="0"/>
        </c:ser>
        <c:ser>
          <c:idx val="1"/>
          <c:order val="1"/>
          <c:tx>
            <c:strRef>
              <c:f>'城市建设-能源 图表'!$AI$14</c:f>
              <c:strCache>
                <c:ptCount val="1"/>
                <c:pt idx="0">
                  <c:v>城镇居建</c:v>
                </c:pt>
              </c:strCache>
            </c:strRef>
          </c:tx>
          <c:spPr>
            <a:ln w="28575" cap="rnd">
              <a:solidFill>
                <a:schemeClr val="accent2"/>
              </a:solidFill>
              <a:round/>
            </a:ln>
            <a:effectLst/>
          </c:spPr>
          <c:marker>
            <c:symbol val="none"/>
          </c:marker>
          <c:dLbls>
            <c:delete val="1"/>
          </c:dLbls>
          <c:cat>
            <c:numRef>
              <c:f>'城市建设-能源 图表'!$AG$15:$AG$23</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'城市建设-能源 图表'!$AI$15:$AI$23</c:f>
              <c:numCache>
                <c:formatCode>General</c:formatCode>
                <c:ptCount val="9"/>
                <c:pt idx="0">
                  <c:v>-0.0209020391100376</c:v>
                </c:pt>
                <c:pt idx="1">
                  <c:v>0.0524050979089866</c:v>
                </c:pt>
                <c:pt idx="2">
                  <c:v>0.059370707622467</c:v>
                </c:pt>
                <c:pt idx="3">
                  <c:v>0.00645537555818098</c:v>
                </c:pt>
                <c:pt idx="4">
                  <c:v>0.0817998910694345</c:v>
                </c:pt>
                <c:pt idx="5">
                  <c:v>0.0598484534992253</c:v>
                </c:pt>
                <c:pt idx="6">
                  <c:v>0.0446449681680639</c:v>
                </c:pt>
                <c:pt idx="7">
                  <c:v>0.0594272804855512</c:v>
                </c:pt>
                <c:pt idx="8">
                  <c:v>0.0564896896810573</c:v>
                </c:pt>
              </c:numCache>
            </c:numRef>
          </c:val>
          <c:smooth val="0"/>
        </c:ser>
        <c:ser>
          <c:idx val="2"/>
          <c:order val="2"/>
          <c:tx>
            <c:strRef>
              <c:f>'城市建设-能源 图表'!$AJ$14</c:f>
              <c:strCache>
                <c:ptCount val="1"/>
                <c:pt idx="0">
                  <c:v>农村居建</c:v>
                </c:pt>
              </c:strCache>
            </c:strRef>
          </c:tx>
          <c:spPr>
            <a:ln w="28575" cap="rnd">
              <a:solidFill>
                <a:schemeClr val="accent3"/>
              </a:solidFill>
              <a:round/>
            </a:ln>
            <a:effectLst/>
          </c:spPr>
          <c:marker>
            <c:symbol val="none"/>
          </c:marker>
          <c:dLbls>
            <c:delete val="1"/>
          </c:dLbls>
          <c:cat>
            <c:numRef>
              <c:f>'城市建设-能源 图表'!$AG$15:$AG$23</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'城市建设-能源 图表'!$AJ$15:$AJ$23</c:f>
              <c:numCache>
                <c:formatCode>General</c:formatCode>
                <c:ptCount val="9"/>
                <c:pt idx="0">
                  <c:v>0.0219845093038632</c:v>
                </c:pt>
                <c:pt idx="1">
                  <c:v>0.0146029252062201</c:v>
                </c:pt>
                <c:pt idx="2">
                  <c:v>0.0256997107786204</c:v>
                </c:pt>
                <c:pt idx="3">
                  <c:v>0.010080040853029</c:v>
                </c:pt>
                <c:pt idx="4">
                  <c:v>0.117950916064932</c:v>
                </c:pt>
                <c:pt idx="5">
                  <c:v>0.104542907421426</c:v>
                </c:pt>
                <c:pt idx="6">
                  <c:v>0.10460779863466</c:v>
                </c:pt>
                <c:pt idx="7">
                  <c:v>0.053019193270269</c:v>
                </c:pt>
                <c:pt idx="8">
                  <c:v>0.111220788760847</c:v>
                </c:pt>
              </c:numCache>
            </c:numRef>
          </c:val>
          <c:smooth val="0"/>
        </c:ser>
        <c:dLbls>
          <c:showLegendKey val="0"/>
          <c:showVal val="0"/>
          <c:showCatName val="0"/>
          <c:showSerName val="0"/>
          <c:showPercent val="0"/>
          <c:showBubbleSize val="0"/>
        </c:dLbls>
        <c:marker val="0"/>
        <c:smooth val="0"/>
        <c:axId val="-2009652256"/>
        <c:axId val="-2009647904"/>
      </c:lineChart>
      <c:catAx>
        <c:axId val="-200965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9647904"/>
        <c:crosses val="autoZero"/>
        <c:auto val="1"/>
        <c:lblAlgn val="ctr"/>
        <c:lblOffset val="100"/>
        <c:noMultiLvlLbl val="0"/>
      </c:catAx>
      <c:valAx>
        <c:axId val="-200964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9652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628d9e-7aed-42a7-8b31-f458b5c81f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'城市建设-能源 图表'!$S$14</c:f>
              <c:strCache>
                <c:ptCount val="1"/>
                <c:pt idx="0">
                  <c:v>    第三产业</c:v>
                </c:pt>
              </c:strCache>
            </c:strRef>
          </c:tx>
          <c:spPr>
            <a:solidFill>
              <a:schemeClr val="accent1"/>
            </a:solidFill>
            <a:ln>
              <a:noFill/>
            </a:ln>
            <a:effectLst/>
          </c:spPr>
          <c:invertIfNegative val="0"/>
          <c:dLbls>
            <c:delete val="1"/>
          </c:dLbls>
          <c:cat>
            <c:numRef>
              <c:f>'城市建设-能源 图表'!$R$15:$R$24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图表'!$S$15:$S$24</c:f>
              <c:numCache>
                <c:formatCode>0</c:formatCode>
                <c:ptCount val="10"/>
                <c:pt idx="0">
                  <c:v>532281</c:v>
                </c:pt>
                <c:pt idx="1">
                  <c:v>620080</c:v>
                </c:pt>
                <c:pt idx="2">
                  <c:v>685730</c:v>
                </c:pt>
                <c:pt idx="3">
                  <c:v>766318</c:v>
                </c:pt>
                <c:pt idx="4">
                  <c:v>798737</c:v>
                </c:pt>
                <c:pt idx="5">
                  <c:v>858348</c:v>
                </c:pt>
                <c:pt idx="6">
                  <c:v>923285</c:v>
                </c:pt>
                <c:pt idx="7">
                  <c:v>974114</c:v>
                </c:pt>
                <c:pt idx="8">
                  <c:v>1075977</c:v>
                </c:pt>
                <c:pt idx="9">
                  <c:v>1134117</c:v>
                </c:pt>
              </c:numCache>
            </c:numRef>
          </c:val>
        </c:ser>
        <c:ser>
          <c:idx val="1"/>
          <c:order val="1"/>
          <c:tx>
            <c:strRef>
              <c:f>'城市建设-能源 图表'!$T$14</c:f>
              <c:strCache>
                <c:ptCount val="1"/>
                <c:pt idx="0">
                  <c:v>B、城乡居民生活用电合计</c:v>
                </c:pt>
              </c:strCache>
            </c:strRef>
          </c:tx>
          <c:spPr>
            <a:solidFill>
              <a:schemeClr val="accent2"/>
            </a:solidFill>
            <a:ln>
              <a:noFill/>
            </a:ln>
            <a:effectLst/>
          </c:spPr>
          <c:invertIfNegative val="0"/>
          <c:dLbls>
            <c:delete val="1"/>
          </c:dLbls>
          <c:cat>
            <c:numRef>
              <c:f>'城市建设-能源 图表'!$R$15:$R$24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图表'!$T$15:$T$24</c:f>
            </c:numRef>
          </c:val>
        </c:ser>
        <c:ser>
          <c:idx val="2"/>
          <c:order val="2"/>
          <c:tx>
            <c:strRef>
              <c:f>'城市建设-能源 图表'!$U$14</c:f>
              <c:strCache>
                <c:ptCount val="1"/>
                <c:pt idx="0">
                  <c:v>    城镇居民</c:v>
                </c:pt>
              </c:strCache>
            </c:strRef>
          </c:tx>
          <c:spPr>
            <a:solidFill>
              <a:schemeClr val="accent3"/>
            </a:solidFill>
            <a:ln>
              <a:noFill/>
            </a:ln>
            <a:effectLst/>
          </c:spPr>
          <c:invertIfNegative val="0"/>
          <c:dLbls>
            <c:delete val="1"/>
          </c:dLbls>
          <c:cat>
            <c:numRef>
              <c:f>'城市建设-能源 图表'!$R$15:$R$24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图表'!$U$15:$U$24</c:f>
              <c:numCache>
                <c:formatCode>0</c:formatCode>
                <c:ptCount val="10"/>
                <c:pt idx="0">
                  <c:v>365993</c:v>
                </c:pt>
                <c:pt idx="1">
                  <c:v>358343</c:v>
                </c:pt>
                <c:pt idx="2">
                  <c:v>377122</c:v>
                </c:pt>
                <c:pt idx="3">
                  <c:v>399512</c:v>
                </c:pt>
                <c:pt idx="4">
                  <c:v>402091</c:v>
                </c:pt>
                <c:pt idx="5">
                  <c:v>434982</c:v>
                </c:pt>
                <c:pt idx="6">
                  <c:v>461015</c:v>
                </c:pt>
                <c:pt idx="7">
                  <c:v>481597</c:v>
                </c:pt>
                <c:pt idx="8">
                  <c:v>510217</c:v>
                </c:pt>
                <c:pt idx="9">
                  <c:v>539039</c:v>
                </c:pt>
              </c:numCache>
            </c:numRef>
          </c:val>
        </c:ser>
        <c:ser>
          <c:idx val="3"/>
          <c:order val="3"/>
          <c:tx>
            <c:strRef>
              <c:f>'城市建设-能源 图表'!$V$14</c:f>
              <c:strCache>
                <c:ptCount val="1"/>
                <c:pt idx="0">
                  <c:v>    乡村居民</c:v>
                </c:pt>
              </c:strCache>
            </c:strRef>
          </c:tx>
          <c:spPr>
            <a:solidFill>
              <a:schemeClr val="accent4"/>
            </a:solidFill>
            <a:ln>
              <a:noFill/>
            </a:ln>
            <a:effectLst/>
          </c:spPr>
          <c:invertIfNegative val="0"/>
          <c:dLbls>
            <c:delete val="1"/>
          </c:dLbls>
          <c:cat>
            <c:numRef>
              <c:f>'城市建设-能源 图表'!$R$15:$R$24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图表'!$V$15:$V$24</c:f>
              <c:numCache>
                <c:formatCode>0</c:formatCode>
                <c:ptCount val="10"/>
                <c:pt idx="0">
                  <c:v>84696</c:v>
                </c:pt>
                <c:pt idx="1">
                  <c:v>86558</c:v>
                </c:pt>
                <c:pt idx="2">
                  <c:v>87822</c:v>
                </c:pt>
                <c:pt idx="3">
                  <c:v>90079</c:v>
                </c:pt>
                <c:pt idx="4">
                  <c:v>90987</c:v>
                </c:pt>
                <c:pt idx="5">
                  <c:v>101719</c:v>
                </c:pt>
                <c:pt idx="6">
                  <c:v>112353</c:v>
                </c:pt>
                <c:pt idx="7">
                  <c:v>124106</c:v>
                </c:pt>
                <c:pt idx="8">
                  <c:v>130686</c:v>
                </c:pt>
                <c:pt idx="9">
                  <c:v>145221</c:v>
                </c:pt>
              </c:numCache>
            </c:numRef>
          </c:val>
        </c:ser>
        <c:dLbls>
          <c:showLegendKey val="0"/>
          <c:showVal val="0"/>
          <c:showCatName val="0"/>
          <c:showSerName val="0"/>
          <c:showPercent val="0"/>
          <c:showBubbleSize val="0"/>
        </c:dLbls>
        <c:gapWidth val="150"/>
        <c:overlap val="100"/>
        <c:axId val="-2009648448"/>
        <c:axId val="-2009649536"/>
      </c:barChart>
      <c:catAx>
        <c:axId val="-20096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9649536"/>
        <c:crosses val="autoZero"/>
        <c:auto val="1"/>
        <c:lblAlgn val="ctr"/>
        <c:lblOffset val="100"/>
        <c:noMultiLvlLbl val="0"/>
      </c:catAx>
      <c:valAx>
        <c:axId val="-2009649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9648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d49864-8af9-40d4-9a67-155840b2534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'城市建设-能源 图表'!$AC$14</c:f>
              <c:strCache>
                <c:ptCount val="1"/>
                <c:pt idx="0">
                  <c:v>    第三产业</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'城市建设-能源 图表'!$AB$15:$AB$24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图表'!$AC$15:$AC$24</c:f>
              <c:numCache>
                <c:formatCode>0%</c:formatCode>
                <c:ptCount val="10"/>
                <c:pt idx="0">
                  <c:v>0.54150279255725</c:v>
                </c:pt>
                <c:pt idx="1">
                  <c:v>0.582245129255827</c:v>
                </c:pt>
                <c:pt idx="2">
                  <c:v>0.595937685217533</c:v>
                </c:pt>
                <c:pt idx="3">
                  <c:v>0.610170004355411</c:v>
                </c:pt>
                <c:pt idx="4">
                  <c:v>0.618306026791762</c:v>
                </c:pt>
                <c:pt idx="5">
                  <c:v>0.615281613764104</c:v>
                </c:pt>
                <c:pt idx="6">
                  <c:v>0.616899842515266</c:v>
                </c:pt>
                <c:pt idx="7">
                  <c:v>0.616599264345174</c:v>
                </c:pt>
                <c:pt idx="8">
                  <c:v>0.62670483668049</c:v>
                </c:pt>
                <c:pt idx="9">
                  <c:v>0.62369739608453</c:v>
                </c:pt>
              </c:numCache>
            </c:numRef>
          </c:val>
        </c:ser>
        <c:ser>
          <c:idx val="1"/>
          <c:order val="1"/>
          <c:tx>
            <c:strRef>
              <c:f>'城市建设-能源 图表'!$AD$14</c:f>
              <c:strCache>
                <c:ptCount val="1"/>
                <c:pt idx="0">
                  <c:v>    城镇居民</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'城市建设-能源 图表'!$AB$15:$AB$24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图表'!$AD$15:$AD$24</c:f>
              <c:numCache>
                <c:formatCode>0%</c:formatCode>
                <c:ptCount val="10"/>
                <c:pt idx="0">
                  <c:v>0.37233384538694</c:v>
                </c:pt>
                <c:pt idx="1">
                  <c:v>0.336478303368792</c:v>
                </c:pt>
                <c:pt idx="2">
                  <c:v>0.327740089721329</c:v>
                </c:pt>
                <c:pt idx="3">
                  <c:v>0.318105850025758</c:v>
                </c:pt>
                <c:pt idx="4">
                  <c:v>0.311260513308794</c:v>
                </c:pt>
                <c:pt idx="5">
                  <c:v>0.311804101504678</c:v>
                </c:pt>
                <c:pt idx="6">
                  <c:v>0.308030652395712</c:v>
                </c:pt>
                <c:pt idx="7">
                  <c:v>0.304843535675335</c:v>
                </c:pt>
                <c:pt idx="8">
                  <c:v>0.29717685569172</c:v>
                </c:pt>
                <c:pt idx="9">
                  <c:v>0.296439627206019</c:v>
                </c:pt>
              </c:numCache>
            </c:numRef>
          </c:val>
        </c:ser>
        <c:ser>
          <c:idx val="2"/>
          <c:order val="2"/>
          <c:tx>
            <c:strRef>
              <c:f>'城市建设-能源 图表'!$AE$14</c:f>
              <c:strCache>
                <c:ptCount val="1"/>
                <c:pt idx="0">
                  <c:v>    乡村居民</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'城市建设-能源 图表'!$AB$15:$AB$24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图表'!$AE$15:$AE$24</c:f>
              <c:numCache>
                <c:formatCode>0%</c:formatCode>
                <c:ptCount val="10"/>
                <c:pt idx="0">
                  <c:v>0.0861633620558104</c:v>
                </c:pt>
                <c:pt idx="1">
                  <c:v>0.0812765673753804</c:v>
                </c:pt>
                <c:pt idx="2">
                  <c:v>0.0763222250611381</c:v>
                </c:pt>
                <c:pt idx="3">
                  <c:v>0.0717241456188307</c:v>
                </c:pt>
                <c:pt idx="4">
                  <c:v>0.0704334598994438</c:v>
                </c:pt>
                <c:pt idx="5">
                  <c:v>0.0729142847312173</c:v>
                </c:pt>
                <c:pt idx="6">
                  <c:v>0.075069505089022</c:v>
                </c:pt>
                <c:pt idx="7">
                  <c:v>0.0785571999794913</c:v>
                </c:pt>
                <c:pt idx="8">
                  <c:v>0.0761183076277899</c:v>
                </c:pt>
                <c:pt idx="9">
                  <c:v>0.0798629767094502</c:v>
                </c:pt>
              </c:numCache>
            </c:numRef>
          </c:val>
        </c:ser>
        <c:dLbls>
          <c:showLegendKey val="0"/>
          <c:showVal val="1"/>
          <c:showCatName val="0"/>
          <c:showSerName val="0"/>
          <c:showPercent val="0"/>
          <c:showBubbleSize val="0"/>
        </c:dLbls>
        <c:gapWidth val="79"/>
        <c:overlap val="100"/>
        <c:axId val="-2009653888"/>
        <c:axId val="-2009647360"/>
      </c:barChart>
      <c:catAx>
        <c:axId val="-2009653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2009647360"/>
        <c:crosses val="autoZero"/>
        <c:auto val="1"/>
        <c:lblAlgn val="ctr"/>
        <c:lblOffset val="100"/>
        <c:noMultiLvlLbl val="0"/>
      </c:catAx>
      <c:valAx>
        <c:axId val="-2009647360"/>
        <c:scaling>
          <c:orientation val="minMax"/>
          <c:max val="1"/>
        </c:scaling>
        <c:delete val="1"/>
        <c:axPos val="l"/>
        <c:numFmt formatCode="0%" sourceLinked="0"/>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9653888"/>
        <c:crosses val="autoZero"/>
        <c:crossBetween val="between"/>
        <c:majorUnit val="0.2"/>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479439d-25e2-4612-84ee-1cee422718ac}"/>
      </c:ext>
    </c:extLst>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'城市建设-能源 图表'!$AH$14</c:f>
              <c:strCache>
                <c:ptCount val="1"/>
                <c:pt idx="0">
                  <c:v>公共建筑</c:v>
                </c:pt>
              </c:strCache>
            </c:strRef>
          </c:tx>
          <c:spPr>
            <a:ln w="28575" cap="rnd">
              <a:solidFill>
                <a:schemeClr val="accent1"/>
              </a:solidFill>
              <a:round/>
            </a:ln>
            <a:effectLst/>
          </c:spPr>
          <c:marker>
            <c:symbol val="none"/>
          </c:marker>
          <c:dLbls>
            <c:delete val="1"/>
          </c:dLbls>
          <c:cat>
            <c:numRef>
              <c:f>'城市建设-能源 图表'!$AG$15:$AG$23</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'城市建设-能源 图表'!$AH$15:$AH$23</c:f>
              <c:numCache>
                <c:formatCode>General</c:formatCode>
                <c:ptCount val="9"/>
                <c:pt idx="0">
                  <c:v>0.164948589185036</c:v>
                </c:pt>
                <c:pt idx="1">
                  <c:v>0.105873435685718</c:v>
                </c:pt>
                <c:pt idx="2">
                  <c:v>0.117521473466233</c:v>
                </c:pt>
                <c:pt idx="3">
                  <c:v>0.0423048917029223</c:v>
                </c:pt>
                <c:pt idx="4">
                  <c:v>0.0746315745983972</c:v>
                </c:pt>
                <c:pt idx="5">
                  <c:v>0.0756534645621589</c:v>
                </c:pt>
                <c:pt idx="6">
                  <c:v>0.0550523402849608</c:v>
                </c:pt>
                <c:pt idx="7">
                  <c:v>0.104569896336568</c:v>
                </c:pt>
                <c:pt idx="8">
                  <c:v>0.0540346122640168</c:v>
                </c:pt>
              </c:numCache>
            </c:numRef>
          </c:val>
          <c:smooth val="0"/>
        </c:ser>
        <c:ser>
          <c:idx val="1"/>
          <c:order val="1"/>
          <c:tx>
            <c:strRef>
              <c:f>'城市建设-能源 图表'!$AI$14</c:f>
              <c:strCache>
                <c:ptCount val="1"/>
                <c:pt idx="0">
                  <c:v>城镇居建</c:v>
                </c:pt>
              </c:strCache>
            </c:strRef>
          </c:tx>
          <c:spPr>
            <a:ln w="28575" cap="rnd">
              <a:solidFill>
                <a:schemeClr val="accent2"/>
              </a:solidFill>
              <a:round/>
            </a:ln>
            <a:effectLst/>
          </c:spPr>
          <c:marker>
            <c:symbol val="none"/>
          </c:marker>
          <c:dLbls>
            <c:delete val="1"/>
          </c:dLbls>
          <c:cat>
            <c:numRef>
              <c:f>'城市建设-能源 图表'!$AG$15:$AG$23</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'城市建设-能源 图表'!$AI$15:$AI$23</c:f>
              <c:numCache>
                <c:formatCode>General</c:formatCode>
                <c:ptCount val="9"/>
                <c:pt idx="0">
                  <c:v>-0.0209020391100376</c:v>
                </c:pt>
                <c:pt idx="1">
                  <c:v>0.0524050979089866</c:v>
                </c:pt>
                <c:pt idx="2">
                  <c:v>0.059370707622467</c:v>
                </c:pt>
                <c:pt idx="3">
                  <c:v>0.00645537555818098</c:v>
                </c:pt>
                <c:pt idx="4">
                  <c:v>0.0817998910694345</c:v>
                </c:pt>
                <c:pt idx="5">
                  <c:v>0.0598484534992253</c:v>
                </c:pt>
                <c:pt idx="6">
                  <c:v>0.0446449681680639</c:v>
                </c:pt>
                <c:pt idx="7">
                  <c:v>0.0594272804855512</c:v>
                </c:pt>
                <c:pt idx="8">
                  <c:v>0.0564896896810573</c:v>
                </c:pt>
              </c:numCache>
            </c:numRef>
          </c:val>
          <c:smooth val="0"/>
        </c:ser>
        <c:ser>
          <c:idx val="2"/>
          <c:order val="2"/>
          <c:tx>
            <c:strRef>
              <c:f>'城市建设-能源 图表'!$AJ$14</c:f>
              <c:strCache>
                <c:ptCount val="1"/>
                <c:pt idx="0">
                  <c:v>农村居建</c:v>
                </c:pt>
              </c:strCache>
            </c:strRef>
          </c:tx>
          <c:spPr>
            <a:ln w="28575" cap="rnd">
              <a:solidFill>
                <a:schemeClr val="accent3"/>
              </a:solidFill>
              <a:round/>
            </a:ln>
            <a:effectLst/>
          </c:spPr>
          <c:marker>
            <c:symbol val="none"/>
          </c:marker>
          <c:dLbls>
            <c:delete val="1"/>
          </c:dLbls>
          <c:cat>
            <c:numRef>
              <c:f>'城市建设-能源 图表'!$AG$15:$AG$23</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'城市建设-能源 图表'!$AJ$15:$AJ$23</c:f>
              <c:numCache>
                <c:formatCode>General</c:formatCode>
                <c:ptCount val="9"/>
                <c:pt idx="0">
                  <c:v>0.0219845093038632</c:v>
                </c:pt>
                <c:pt idx="1">
                  <c:v>0.0146029252062201</c:v>
                </c:pt>
                <c:pt idx="2">
                  <c:v>0.0256997107786204</c:v>
                </c:pt>
                <c:pt idx="3">
                  <c:v>0.010080040853029</c:v>
                </c:pt>
                <c:pt idx="4">
                  <c:v>0.117950916064932</c:v>
                </c:pt>
                <c:pt idx="5">
                  <c:v>0.104542907421426</c:v>
                </c:pt>
                <c:pt idx="6">
                  <c:v>0.10460779863466</c:v>
                </c:pt>
                <c:pt idx="7">
                  <c:v>0.053019193270269</c:v>
                </c:pt>
                <c:pt idx="8">
                  <c:v>0.111220788760847</c:v>
                </c:pt>
              </c:numCache>
            </c:numRef>
          </c:val>
          <c:smooth val="0"/>
        </c:ser>
        <c:dLbls>
          <c:showLegendKey val="0"/>
          <c:showVal val="0"/>
          <c:showCatName val="0"/>
          <c:showSerName val="0"/>
          <c:showPercent val="0"/>
          <c:showBubbleSize val="0"/>
        </c:dLbls>
        <c:marker val="0"/>
        <c:smooth val="0"/>
        <c:axId val="-2009652256"/>
        <c:axId val="-2009647904"/>
      </c:lineChart>
      <c:catAx>
        <c:axId val="-200965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9647904"/>
        <c:crosses val="autoZero"/>
        <c:auto val="1"/>
        <c:lblAlgn val="ctr"/>
        <c:lblOffset val="100"/>
        <c:noMultiLvlLbl val="0"/>
      </c:catAx>
      <c:valAx>
        <c:axId val="-200964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9652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b293080-e0c8-4c89-b0ba-3b4db5ecc89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'城市建设-能源 图表'!$B$4:$B$6</c:f>
              <c:strCache>
                <c:ptCount val="1"/>
                <c:pt idx="0">
                  <c:v>销售气量 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'城市建设-能源 图表'!$A$7:$A$24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图表'!$B$7:$B$24</c:f>
            </c:numRef>
          </c:val>
          <c:smooth val="0"/>
        </c:ser>
        <c:ser>
          <c:idx val="1"/>
          <c:order val="1"/>
          <c:tx>
            <c:strRef>
              <c:f>'城市建设-能源 图表'!$C$4</c:f>
              <c:strCache>
                <c:ptCount val="1"/>
                <c:pt idx="0">
                  <c:v>居民家庭天然气（万立方米）</c:v>
                </c:pt>
              </c:strCache>
            </c:strRef>
          </c:tx>
          <c:spPr>
            <a:ln w="28575" cap="rnd">
              <a:solidFill>
                <a:schemeClr val="accent2"/>
              </a:solidFill>
              <a:round/>
            </a:ln>
            <a:effectLst/>
          </c:spPr>
          <c:marker>
            <c:symbol val="none"/>
          </c:marker>
          <c:dLbls>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'城市建设-能源 图表'!$A$7:$A$24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图表'!$C$7:$C$24</c:f>
              <c:numCache>
                <c:formatCode>0</c:formatCode>
                <c:ptCount val="10"/>
                <c:pt idx="0">
                  <c:v>18081</c:v>
                </c:pt>
                <c:pt idx="1">
                  <c:v>18156</c:v>
                </c:pt>
                <c:pt idx="2">
                  <c:v>18499</c:v>
                </c:pt>
                <c:pt idx="3">
                  <c:v>20315</c:v>
                </c:pt>
                <c:pt idx="4">
                  <c:v>18577</c:v>
                </c:pt>
                <c:pt idx="5">
                  <c:v>18972</c:v>
                </c:pt>
                <c:pt idx="6">
                  <c:v>21057.91</c:v>
                </c:pt>
                <c:pt idx="7">
                  <c:v>20105.03</c:v>
                </c:pt>
                <c:pt idx="8">
                  <c:v>19934.53</c:v>
                </c:pt>
                <c:pt idx="9">
                  <c:v>21237.45</c:v>
                </c:pt>
              </c:numCache>
            </c:numRef>
          </c:val>
          <c:smooth val="0"/>
        </c:ser>
        <c:ser>
          <c:idx val="2"/>
          <c:order val="2"/>
          <c:tx>
            <c:strRef>
              <c:f>'城市建设-能源 图表'!$D$4</c:f>
              <c:strCache>
                <c:ptCount val="1"/>
                <c:pt idx="0">
                  <c:v>集中供热天然气（万立方米）</c:v>
                </c:pt>
              </c:strCache>
            </c:strRef>
          </c:tx>
          <c:spPr>
            <a:ln w="28575" cap="rnd">
              <a:solidFill>
                <a:schemeClr val="accent3"/>
              </a:solidFill>
              <a:round/>
            </a:ln>
            <a:effectLst/>
          </c:spPr>
          <c:marker>
            <c:symbol val="none"/>
          </c:marker>
          <c:dLbls>
            <c:dLbl>
              <c:idx val="1"/>
              <c:delete val="1"/>
            </c:dLbl>
            <c:dLbl>
              <c:idx val="2"/>
              <c:delete val="1"/>
            </c:dLbl>
            <c:dLbl>
              <c:idx val="4"/>
              <c:delete val="1"/>
            </c:dLbl>
            <c:dLbl>
              <c:idx val="5"/>
              <c:delete val="1"/>
            </c:dLbl>
            <c:dLbl>
              <c:idx val="6"/>
              <c:delete val="1"/>
            </c:dLbl>
            <c:dLbl>
              <c:idx val="7"/>
              <c:delete val="1"/>
            </c:dLbl>
            <c:dLbl>
              <c:idx val="8"/>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'城市建设-能源 图表'!$A$7:$A$24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图表'!$D$7:$D$24</c:f>
              <c:numCache>
                <c:formatCode>0</c:formatCode>
                <c:ptCount val="10"/>
                <c:pt idx="0">
                  <c:v>0</c:v>
                </c:pt>
                <c:pt idx="1">
                  <c:v>0</c:v>
                </c:pt>
                <c:pt idx="2">
                  <c:v>0</c:v>
                </c:pt>
                <c:pt idx="3">
                  <c:v>500</c:v>
                </c:pt>
                <c:pt idx="4">
                  <c:v>462</c:v>
                </c:pt>
                <c:pt idx="5">
                  <c:v>433</c:v>
                </c:pt>
                <c:pt idx="6">
                  <c:v>759</c:v>
                </c:pt>
                <c:pt idx="7">
                  <c:v>1324.96</c:v>
                </c:pt>
                <c:pt idx="8">
                  <c:v>1577.43</c:v>
                </c:pt>
                <c:pt idx="9">
                  <c:v>1463.8</c:v>
                </c:pt>
              </c:numCache>
            </c:numRef>
          </c:val>
          <c:smooth val="0"/>
        </c:ser>
        <c:ser>
          <c:idx val="3"/>
          <c:order val="3"/>
          <c:tx>
            <c:strRef>
              <c:f>'城市建设-能源 图表'!$E$4</c:f>
              <c:strCache>
                <c:ptCount val="1"/>
                <c:pt idx="0">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'城市建设-能源 图表'!$A$7:$A$24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图表'!$E$7:$E$24</c:f>
            </c:numRef>
          </c:val>
          <c:smooth val="0"/>
        </c:ser>
        <c:ser>
          <c:idx val="4"/>
          <c:order val="4"/>
          <c:tx>
            <c:strRef>
              <c:f>'城市建设-能源 图表'!$F$4</c:f>
              <c:strCache>
                <c:ptCount val="1"/>
                <c:pt idx="0">
                  <c:v>居民家庭液化石油气（吨）</c:v>
                </c:pt>
              </c:strCache>
            </c:strRef>
          </c:tx>
          <c:spPr>
            <a:ln w="28575" cap="rnd">
              <a:solidFill>
                <a:schemeClr val="accent5"/>
              </a:solidFill>
              <a:round/>
            </a:ln>
            <a:effectLst/>
          </c:spPr>
          <c:marker>
            <c:symbol val="none"/>
          </c:marker>
          <c:dLbls>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'城市建设-能源 图表'!$A$7:$A$24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'城市建设-能源 图表'!$F$7:$F$24</c:f>
              <c:numCache>
                <c:formatCode>0</c:formatCode>
                <c:ptCount val="10"/>
                <c:pt idx="0">
                  <c:v>5350</c:v>
                </c:pt>
                <c:pt idx="1">
                  <c:v>22000</c:v>
                </c:pt>
                <c:pt idx="2">
                  <c:v>18499</c:v>
                </c:pt>
                <c:pt idx="3">
                  <c:v>20315</c:v>
                </c:pt>
                <c:pt idx="4">
                  <c:v>21500</c:v>
                </c:pt>
                <c:pt idx="5">
                  <c:v>20400</c:v>
                </c:pt>
                <c:pt idx="6">
                  <c:v>18995</c:v>
                </c:pt>
                <c:pt idx="7">
                  <c:v>32008</c:v>
                </c:pt>
                <c:pt idx="8">
                  <c:v>53391.11</c:v>
                </c:pt>
                <c:pt idx="9">
                  <c:v>52800</c:v>
                </c:pt>
              </c:numCache>
            </c:numRef>
          </c:val>
          <c:smooth val="0"/>
        </c:ser>
        <c:dLbls>
          <c:showLegendKey val="0"/>
          <c:showVal val="1"/>
          <c:showCatName val="0"/>
          <c:showSerName val="0"/>
          <c:showPercent val="0"/>
          <c:showBubbleSize val="0"/>
        </c:dLbls>
        <c:hiLowLines>
          <c:spPr>
            <a:ln w="9525" cap="flat" cmpd="sng" algn="ctr">
              <a:solidFill>
                <a:schemeClr val="tx1">
                  <a:lumMod val="75000"/>
                  <a:lumOff val="25000"/>
                </a:schemeClr>
              </a:solidFill>
              <a:round/>
            </a:ln>
            <a:effectLst/>
          </c:spPr>
        </c:hiLowLines>
        <c:marker val="0"/>
        <c:smooth val="0"/>
        <c:axId val="-2090594320"/>
        <c:axId val="-2090593776"/>
      </c:lineChart>
      <c:catAx>
        <c:axId val="-209059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90593776"/>
        <c:crosses val="autoZero"/>
        <c:auto val="1"/>
        <c:lblAlgn val="ctr"/>
        <c:lblOffset val="100"/>
        <c:noMultiLvlLbl val="0"/>
      </c:catAx>
      <c:valAx>
        <c:axId val="-2090593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905943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de8e04-98d8-4ba3-9225-097291708a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Sheet1!$V$39</c:f>
              <c:strCache>
                <c:ptCount val="1"/>
                <c:pt idx="0">
                  <c:v>节能居住建筑</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Sheet1!$W$38:$AA$38</c:f>
              <c:strCache>
                <c:ptCount val="5"/>
                <c:pt idx="0">
                  <c:v>2015年</c:v>
                </c:pt>
                <c:pt idx="1">
                  <c:v>2016年</c:v>
                </c:pt>
                <c:pt idx="2">
                  <c:v>2017年</c:v>
                </c:pt>
                <c:pt idx="3">
                  <c:v>2018年</c:v>
                </c:pt>
                <c:pt idx="4">
                  <c:v>2019年</c:v>
                </c:pt>
              </c:strCache>
            </c:strRef>
          </c:cat>
          <c:val>
            <c:numRef>
              <c:f>Sheet1!$W$39:$AA$39</c:f>
              <c:numCache>
                <c:formatCode>General</c:formatCode>
                <c:ptCount val="5"/>
                <c:pt idx="0">
                  <c:v>1122</c:v>
                </c:pt>
                <c:pt idx="1">
                  <c:v>859</c:v>
                </c:pt>
                <c:pt idx="2">
                  <c:v>1029</c:v>
                </c:pt>
                <c:pt idx="3">
                  <c:v>1236</c:v>
                </c:pt>
                <c:pt idx="4">
                  <c:v>1319</c:v>
                </c:pt>
              </c:numCache>
            </c:numRef>
          </c:val>
        </c:ser>
        <c:ser>
          <c:idx val="1"/>
          <c:order val="1"/>
          <c:tx>
            <c:strRef>
              <c:f>Sheet1!$V$40</c:f>
              <c:strCache>
                <c:ptCount val="1"/>
                <c:pt idx="0">
                  <c:v>节能公共建筑</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Sheet1!$W$38:$AA$38</c:f>
              <c:strCache>
                <c:ptCount val="5"/>
                <c:pt idx="0">
                  <c:v>2015年</c:v>
                </c:pt>
                <c:pt idx="1">
                  <c:v>2016年</c:v>
                </c:pt>
                <c:pt idx="2">
                  <c:v>2017年</c:v>
                </c:pt>
                <c:pt idx="3">
                  <c:v>2018年</c:v>
                </c:pt>
                <c:pt idx="4">
                  <c:v>2019年</c:v>
                </c:pt>
              </c:strCache>
            </c:strRef>
          </c:cat>
          <c:val>
            <c:numRef>
              <c:f>Sheet1!$W$40:$AA$40</c:f>
              <c:numCache>
                <c:formatCode>General</c:formatCode>
                <c:ptCount val="5"/>
                <c:pt idx="0">
                  <c:v>207</c:v>
                </c:pt>
                <c:pt idx="1">
                  <c:v>226</c:v>
                </c:pt>
                <c:pt idx="2">
                  <c:v>304</c:v>
                </c:pt>
                <c:pt idx="3">
                  <c:v>397</c:v>
                </c:pt>
                <c:pt idx="4">
                  <c:v>341</c:v>
                </c:pt>
              </c:numCache>
            </c:numRef>
          </c:val>
        </c:ser>
        <c:dLbls>
          <c:showLegendKey val="0"/>
          <c:showVal val="0"/>
          <c:showCatName val="0"/>
          <c:showSerName val="0"/>
          <c:showPercent val="0"/>
          <c:showBubbleSize val="0"/>
        </c:dLbls>
        <c:gapWidth val="219"/>
        <c:axId val="1640694560"/>
        <c:axId val="1634521552"/>
      </c:barChart>
      <c:catAx>
        <c:axId val="164069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crossAx val="1634521552"/>
        <c:crosses val="autoZero"/>
        <c:auto val="1"/>
        <c:lblAlgn val="ctr"/>
        <c:lblOffset val="100"/>
        <c:noMultiLvlLbl val="0"/>
      </c:catAx>
      <c:valAx>
        <c:axId val="1634521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r>
                  <a:rPr lang="en-US" altLang="zh-CN" sz="1200" b="0" i="0" u="none" strike="noStrike" baseline="0">
                    <a:effectLst/>
                  </a:rPr>
                  <a:t>(</a:t>
                </a:r>
                <a:r>
                  <a:rPr lang="zh-CN" altLang="zh-CN" sz="1200" b="0" i="0" u="none" strike="noStrike" baseline="0">
                    <a:effectLst/>
                  </a:rPr>
                  <a:t>单位：个</a:t>
                </a:r>
                <a:r>
                  <a:rPr lang="en-US" altLang="zh-CN" sz="1200" b="0" i="0" u="none" strike="noStrike" baseline="0">
                    <a:effectLst/>
                  </a:rPr>
                  <a:t>)</a:t>
                </a:r>
                <a:endParaRPr lang="zh-CN" altLang="en-US" b="0"/>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crossAx val="1640694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4cc85a-61eb-43af-8430-f14d08f69653}"/>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5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Sheet1!$L$34:$Q$34</c:f>
              <c:strCache>
                <c:ptCount val="6"/>
                <c:pt idx="0">
                  <c:v>2015年</c:v>
                </c:pt>
                <c:pt idx="1">
                  <c:v>2016年</c:v>
                </c:pt>
                <c:pt idx="2">
                  <c:v>2017年</c:v>
                </c:pt>
                <c:pt idx="3">
                  <c:v>2018年</c:v>
                </c:pt>
                <c:pt idx="4">
                  <c:v>2019年</c:v>
                </c:pt>
                <c:pt idx="5">
                  <c:v>2020年</c:v>
                </c:pt>
              </c:strCache>
            </c:strRef>
          </c:cat>
          <c:val>
            <c:numRef>
              <c:f>Sheet1!$L$35:$Q$35</c:f>
              <c:numCache>
                <c:formatCode>General</c:formatCode>
                <c:ptCount val="6"/>
                <c:pt idx="0">
                  <c:v>881.9</c:v>
                </c:pt>
                <c:pt idx="1">
                  <c:v>971.3</c:v>
                </c:pt>
                <c:pt idx="2">
                  <c:v>1003.2</c:v>
                </c:pt>
                <c:pt idx="3">
                  <c:v>1448.9</c:v>
                </c:pt>
                <c:pt idx="4">
                  <c:v>1272.3</c:v>
                </c:pt>
                <c:pt idx="5">
                  <c:v>2607.48</c:v>
                </c:pt>
              </c:numCache>
            </c:numRef>
          </c:val>
        </c:ser>
        <c:dLbls>
          <c:showLegendKey val="0"/>
          <c:showVal val="1"/>
          <c:showCatName val="0"/>
          <c:showSerName val="0"/>
          <c:showPercent val="0"/>
          <c:showBubbleSize val="0"/>
        </c:dLbls>
        <c:gapWidth val="100"/>
        <c:overlap val="-24"/>
        <c:axId val="1014549935"/>
        <c:axId val="1014552847"/>
      </c:barChart>
      <c:catAx>
        <c:axId val="101454993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1100" b="0" i="0" u="none" strike="noStrike" kern="1200" baseline="0">
                <a:solidFill>
                  <a:schemeClr val="tx2"/>
                </a:solidFill>
                <a:latin typeface="+mn-lt"/>
                <a:ea typeface="+mn-ea"/>
                <a:cs typeface="+mn-cs"/>
              </a:defRPr>
            </a:pPr>
          </a:p>
        </c:txPr>
        <c:crossAx val="1014552847"/>
        <c:crosses val="autoZero"/>
        <c:auto val="1"/>
        <c:lblAlgn val="ctr"/>
        <c:lblOffset val="100"/>
        <c:noMultiLvlLbl val="0"/>
      </c:catAx>
      <c:valAx>
        <c:axId val="101455284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014549935"/>
        <c:crosses val="autoZero"/>
        <c:crossBetween val="between"/>
      </c:valAx>
      <c:spPr>
        <a:noFill/>
        <a:ln>
          <a:noFill/>
        </a:ln>
        <a:effectLst/>
      </c:spPr>
    </c:plotArea>
    <c:plotVisOnly val="1"/>
    <c:dispBlanksAs val="gap"/>
    <c:showDLblsOverMax val="0"/>
    <c:extLst>
      <c:ext uri="{0b15fc19-7d7d-44ad-8c2d-2c3a37ce22c3}">
        <chartProps xmlns="https://web.wps.cn/et/2018/main" chartId="{9d7c6735-2444-48cc-a92a-5b7ae7775cbb}"/>
      </c:ext>
    </c:extLst>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293187165715"/>
          <c:y val="0.0423076923076923"/>
          <c:w val="0.812364650541967"/>
          <c:h val="0.768382495457299"/>
        </c:manualLayout>
      </c:layout>
      <c:barChart>
        <c:barDir val="col"/>
        <c:grouping val="clustered"/>
        <c:varyColors val="0"/>
        <c:ser>
          <c:idx val="0"/>
          <c:order val="0"/>
          <c:tx>
            <c:strRef>
              <c:f>Sheet1!$V$44</c:f>
              <c:strCache>
                <c:ptCount val="1"/>
                <c:pt idx="0">
                  <c:v>节能居住建筑</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Sheet1!$W$43:$AA$43</c:f>
              <c:strCache>
                <c:ptCount val="5"/>
                <c:pt idx="0">
                  <c:v>2015年</c:v>
                </c:pt>
                <c:pt idx="1">
                  <c:v>2016年</c:v>
                </c:pt>
                <c:pt idx="2">
                  <c:v>2017年</c:v>
                </c:pt>
                <c:pt idx="3">
                  <c:v>2018年</c:v>
                </c:pt>
                <c:pt idx="4">
                  <c:v>2019年</c:v>
                </c:pt>
              </c:strCache>
            </c:strRef>
          </c:cat>
          <c:val>
            <c:numRef>
              <c:f>Sheet1!$W$44:$AA$44</c:f>
              <c:numCache>
                <c:formatCode>General</c:formatCode>
                <c:ptCount val="5"/>
                <c:pt idx="0">
                  <c:v>677.6</c:v>
                </c:pt>
                <c:pt idx="1">
                  <c:v>737.8</c:v>
                </c:pt>
                <c:pt idx="2">
                  <c:v>687.6</c:v>
                </c:pt>
                <c:pt idx="3">
                  <c:v>1064.7</c:v>
                </c:pt>
                <c:pt idx="4">
                  <c:v>958.4</c:v>
                </c:pt>
              </c:numCache>
            </c:numRef>
          </c:val>
        </c:ser>
        <c:ser>
          <c:idx val="1"/>
          <c:order val="1"/>
          <c:tx>
            <c:strRef>
              <c:f>Sheet1!$V$45</c:f>
              <c:strCache>
                <c:ptCount val="1"/>
                <c:pt idx="0">
                  <c:v>节能公共建筑</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Sheet1!$W$43:$AA$43</c:f>
              <c:strCache>
                <c:ptCount val="5"/>
                <c:pt idx="0">
                  <c:v>2015年</c:v>
                </c:pt>
                <c:pt idx="1">
                  <c:v>2016年</c:v>
                </c:pt>
                <c:pt idx="2">
                  <c:v>2017年</c:v>
                </c:pt>
                <c:pt idx="3">
                  <c:v>2018年</c:v>
                </c:pt>
                <c:pt idx="4">
                  <c:v>2019年</c:v>
                </c:pt>
              </c:strCache>
            </c:strRef>
          </c:cat>
          <c:val>
            <c:numRef>
              <c:f>Sheet1!$W$45:$AA$45</c:f>
              <c:numCache>
                <c:formatCode>General</c:formatCode>
                <c:ptCount val="5"/>
                <c:pt idx="0">
                  <c:v>204.3</c:v>
                </c:pt>
                <c:pt idx="1">
                  <c:v>233.5</c:v>
                </c:pt>
                <c:pt idx="2">
                  <c:v>315.6</c:v>
                </c:pt>
                <c:pt idx="3">
                  <c:v>384.2</c:v>
                </c:pt>
                <c:pt idx="4">
                  <c:v>313.9</c:v>
                </c:pt>
              </c:numCache>
            </c:numRef>
          </c:val>
        </c:ser>
        <c:dLbls>
          <c:showLegendKey val="0"/>
          <c:showVal val="0"/>
          <c:showCatName val="0"/>
          <c:showSerName val="0"/>
          <c:showPercent val="0"/>
          <c:showBubbleSize val="0"/>
        </c:dLbls>
        <c:gapWidth val="150"/>
        <c:axId val="1138530304"/>
        <c:axId val="1792359680"/>
      </c:barChart>
      <c:catAx>
        <c:axId val="113853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crossAx val="1792359680"/>
        <c:crosses val="autoZero"/>
        <c:auto val="1"/>
        <c:lblAlgn val="ctr"/>
        <c:lblOffset val="100"/>
        <c:noMultiLvlLbl val="0"/>
      </c:catAx>
      <c:valAx>
        <c:axId val="1792359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r>
                  <a:rPr lang="en-US" altLang="zh-CN" sz="1200" b="0" i="0" u="none" strike="noStrike" baseline="0">
                    <a:effectLst/>
                  </a:rPr>
                  <a:t>(</a:t>
                </a:r>
                <a:r>
                  <a:rPr lang="zh-CN" altLang="zh-CN" sz="1200" b="0" i="0" u="none" strike="noStrike" baseline="0">
                    <a:effectLst/>
                  </a:rPr>
                  <a:t>单位：万</a:t>
                </a:r>
                <a:r>
                  <a:rPr lang="en-US" altLang="zh-CN" sz="1200" b="0" i="0" u="none" strike="noStrike" baseline="0">
                    <a:effectLst/>
                  </a:rPr>
                  <a:t>m2)</a:t>
                </a:r>
                <a:endParaRPr lang="zh-CN" altLang="en-US" b="0"/>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crossAx val="1138530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e3c76d-5d78-437d-a44c-fa077cf25b6b}"/>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预测结果2!$D$23:$F$23</c:f>
              <c:strCache>
                <c:ptCount val="3"/>
                <c:pt idx="0">
                  <c:v>公共建筑</c:v>
                </c:pt>
                <c:pt idx="1">
                  <c:v>城镇居建</c:v>
                </c:pt>
                <c:pt idx="2">
                  <c:v>农村居建</c:v>
                </c:pt>
              </c:strCache>
            </c:strRef>
          </c:cat>
          <c:val>
            <c:numRef>
              <c:f>预测结果2!$D$29:$F$29</c:f>
              <c:numCache>
                <c:formatCode>0</c:formatCode>
                <c:ptCount val="3"/>
                <c:pt idx="0">
                  <c:v>393.143989079923</c:v>
                </c:pt>
                <c:pt idx="1">
                  <c:v>643.697148920077</c:v>
                </c:pt>
                <c:pt idx="2">
                  <c:v>110.966181818182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2e9e7b3d-eb07-47aa-a360-2d5ce6a18f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预测结果2!$D$23:$F$23</c:f>
              <c:strCache>
                <c:ptCount val="3"/>
                <c:pt idx="0">
                  <c:v>公共建筑</c:v>
                </c:pt>
                <c:pt idx="1">
                  <c:v>城镇居建</c:v>
                </c:pt>
                <c:pt idx="2">
                  <c:v>农村居建</c:v>
                </c:pt>
              </c:strCache>
            </c:strRef>
          </c:cat>
          <c:val>
            <c:numRef>
              <c:f>预测结果2!$D$33:$F$33</c:f>
              <c:numCache>
                <c:formatCode>0</c:formatCode>
                <c:ptCount val="3"/>
                <c:pt idx="0">
                  <c:v>512.94872214157</c:v>
                </c:pt>
                <c:pt idx="1">
                  <c:v>839.85419885843</c:v>
                </c:pt>
                <c:pt idx="2">
                  <c:v>141.296108108108</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5d463576-07b7-4277-a3bf-1db4d4bbdaf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Sheet1!$C$62:$E$62</c:f>
              <c:strCache>
                <c:ptCount val="3"/>
                <c:pt idx="0">
                  <c:v>公共建筑</c:v>
                </c:pt>
                <c:pt idx="1">
                  <c:v>城镇居建</c:v>
                </c:pt>
                <c:pt idx="2">
                  <c:v>农村居建</c:v>
                </c:pt>
              </c:strCache>
            </c:strRef>
          </c:cat>
          <c:val>
            <c:numRef>
              <c:f>Sheet1!$C$64:$E$64</c:f>
              <c:numCache>
                <c:formatCode>General</c:formatCode>
                <c:ptCount val="3"/>
                <c:pt idx="0">
                  <c:v>1587.32303517427</c:v>
                </c:pt>
                <c:pt idx="1">
                  <c:v>2194.83016745865</c:v>
                </c:pt>
                <c:pt idx="2">
                  <c:v>352.523119607458</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6474b6e7-bd90-48f9-8bf3-29d21ef73e6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Sheet1!$C$76</c:f>
              <c:strCache>
                <c:ptCount val="1"/>
                <c:pt idx="0">
                  <c:v>建筑电耗（万ｔｃｅ）</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Sheet1!$B$77:$B$92</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xVal>
          <c:yVal>
            <c:numRef>
              <c:f>Sheet1!$C$77:$C$92</c:f>
              <c:numCache>
                <c:formatCode>General</c:formatCode>
                <c:ptCount val="16"/>
                <c:pt idx="0">
                  <c:v>353.8692</c:v>
                </c:pt>
                <c:pt idx="1">
                  <c:v>383.39316</c:v>
                </c:pt>
                <c:pt idx="2">
                  <c:v>414.24264</c:v>
                </c:pt>
                <c:pt idx="3">
                  <c:v>452.12724</c:v>
                </c:pt>
                <c:pt idx="4">
                  <c:v>465.0534</c:v>
                </c:pt>
                <c:pt idx="5">
                  <c:v>502.21764</c:v>
                </c:pt>
                <c:pt idx="6">
                  <c:v>538.79508</c:v>
                </c:pt>
                <c:pt idx="7">
                  <c:v>568.73412</c:v>
                </c:pt>
                <c:pt idx="8">
                  <c:v>618.0768</c:v>
                </c:pt>
                <c:pt idx="9">
                  <c:v>654.61572</c:v>
                </c:pt>
                <c:pt idx="10">
                  <c:v>675.750143910001</c:v>
                </c:pt>
                <c:pt idx="11">
                  <c:v>708.593351910007</c:v>
                </c:pt>
                <c:pt idx="12">
                  <c:v>741.436559909998</c:v>
                </c:pt>
                <c:pt idx="13">
                  <c:v>774.279767910004</c:v>
                </c:pt>
                <c:pt idx="14">
                  <c:v>807.122975909995</c:v>
                </c:pt>
                <c:pt idx="15">
                  <c:v>839.966183910001</c:v>
                </c:pt>
              </c:numCache>
            </c:numRef>
          </c:yVal>
          <c:smooth val="0"/>
        </c:ser>
        <c:ser>
          <c:idx val="1"/>
          <c:order val="1"/>
          <c:tx>
            <c:strRef>
              <c:f>Sheet1!$D$76</c:f>
              <c:strCache>
                <c:ptCount val="1"/>
                <c:pt idx="0">
                  <c:v>电力碳排放（万ｔCO２）</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Sheet1!$B$77:$B$92</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xVal>
          <c:yVal>
            <c:numRef>
              <c:f>Sheet1!$D$77:$D$92</c:f>
              <c:numCache>
                <c:formatCode>General</c:formatCode>
                <c:ptCount val="16"/>
                <c:pt idx="0">
                  <c:v>763.669393</c:v>
                </c:pt>
                <c:pt idx="1">
                  <c:v>827.3837389</c:v>
                </c:pt>
                <c:pt idx="2">
                  <c:v>893.9586306</c:v>
                </c:pt>
                <c:pt idx="3">
                  <c:v>975.7157021</c:v>
                </c:pt>
                <c:pt idx="4">
                  <c:v>1003.6110735</c:v>
                </c:pt>
                <c:pt idx="5">
                  <c:v>1079.643938031</c:v>
                </c:pt>
                <c:pt idx="6">
                  <c:v>1162.7497157</c:v>
                </c:pt>
                <c:pt idx="7">
                  <c:v>1223.618300207</c:v>
                </c:pt>
                <c:pt idx="8">
                  <c:v>1328.864896593</c:v>
                </c:pt>
                <c:pt idx="9">
                  <c:v>1402.1182195794</c:v>
                </c:pt>
                <c:pt idx="10">
                  <c:v>1458.30635223245</c:v>
                </c:pt>
                <c:pt idx="11">
                  <c:v>1529.18381971912</c:v>
                </c:pt>
                <c:pt idx="12">
                  <c:v>1600.06128720577</c:v>
                </c:pt>
                <c:pt idx="13">
                  <c:v>1670.93875469245</c:v>
                </c:pt>
                <c:pt idx="14">
                  <c:v>1741.8162221791</c:v>
                </c:pt>
                <c:pt idx="15">
                  <c:v>1805.71992375549</c:v>
                </c:pt>
              </c:numCache>
            </c:numRef>
          </c:yVal>
          <c:smooth val="0"/>
        </c:ser>
        <c:dLbls>
          <c:showLegendKey val="0"/>
          <c:showVal val="0"/>
          <c:showCatName val="0"/>
          <c:showSerName val="0"/>
          <c:showPercent val="0"/>
          <c:showBubbleSize val="0"/>
        </c:dLbls>
        <c:axId val="1811011168"/>
        <c:axId val="276933280"/>
      </c:scatterChart>
      <c:valAx>
        <c:axId val="1811011168"/>
        <c:scaling>
          <c:orientation val="minMax"/>
          <c:max val="2025"/>
          <c:min val="201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933280"/>
        <c:crosses val="autoZero"/>
        <c:crossBetween val="midCat"/>
        <c:majorUnit val="1"/>
      </c:valAx>
      <c:valAx>
        <c:axId val="27693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1011168"/>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8dc6c20-0ef8-4545-bc04-af10d9b7a7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7"/>
          <c:order val="7"/>
          <c:tx>
            <c:strRef>
              <c:f>历年人口建面数据!#REF!</c:f>
              <c:strCache>
                <c:ptCount val="1"/>
                <c:pt idx="0">
                  <c:v>#REF!</c:v>
                </c:pt>
              </c:strCache>
            </c:strRef>
          </c:tx>
          <c:spPr>
            <a:ln w="25400" cap="rnd">
              <a:noFill/>
              <a:round/>
            </a:ln>
            <a:effectLst/>
          </c:spPr>
          <c:marker>
            <c:symbol val="circle"/>
            <c:size val="5"/>
            <c:spPr>
              <a:solidFill>
                <a:schemeClr val="accent2">
                  <a:lumMod val="60000"/>
                </a:schemeClr>
              </a:solidFill>
              <a:ln w="9525">
                <a:solidFill>
                  <a:schemeClr val="accent2">
                    <a:lumMod val="60000"/>
                  </a:schemeClr>
                </a:solidFill>
              </a:ln>
              <a:effectLst/>
            </c:spPr>
          </c:marker>
          <c:dLbls>
            <c:delete val="1"/>
          </c:dLbls>
          <c:xVal>
            <c:numRef>
              <c:f>历年人口建面数据!$C$1:$V$1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历年人口建面数据!#REF!</c:f>
              <c:numCache>
                <c:formatCode>General</c:formatCode>
                <c:ptCount val="1"/>
                <c:pt idx="0">
                  <c:v>1</c:v>
                </c:pt>
              </c:numCache>
            </c:numRef>
          </c:yVal>
          <c:smooth val="0"/>
        </c:ser>
        <c:ser>
          <c:idx val="8"/>
          <c:order val="8"/>
          <c:tx>
            <c:strRef>
              <c:f>历年人口建面数据!#REF!</c:f>
              <c:strCache>
                <c:ptCount val="1"/>
                <c:pt idx="0">
                  <c:v>#REF!</c:v>
                </c:pt>
              </c:strCache>
            </c:strRef>
          </c:tx>
          <c:spPr>
            <a:ln w="25400" cap="rnd">
              <a:noFill/>
              <a:round/>
            </a:ln>
            <a:effectLst/>
          </c:spPr>
          <c:marker>
            <c:symbol val="circle"/>
            <c:size val="5"/>
            <c:spPr>
              <a:solidFill>
                <a:schemeClr val="accent3">
                  <a:lumMod val="60000"/>
                </a:schemeClr>
              </a:solidFill>
              <a:ln w="9525">
                <a:solidFill>
                  <a:schemeClr val="accent3">
                    <a:lumMod val="60000"/>
                  </a:schemeClr>
                </a:solidFill>
              </a:ln>
              <a:effectLst/>
            </c:spPr>
          </c:marker>
          <c:dLbls>
            <c:delete val="1"/>
          </c:dLbls>
          <c:xVal>
            <c:numRef>
              <c:f>历年人口建面数据!$C$1:$V$1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历年人口建面数据!#REF!</c:f>
              <c:numCache>
                <c:formatCode>General</c:formatCode>
                <c:ptCount val="1"/>
                <c:pt idx="0">
                  <c:v>1</c:v>
                </c:pt>
              </c:numCache>
            </c:numRef>
          </c:yVal>
          <c:smooth val="0"/>
        </c:ser>
        <c:ser>
          <c:idx val="9"/>
          <c:order val="9"/>
          <c:tx>
            <c:strRef>
              <c:f>历年人口建面数据!$A$9:$B$9</c:f>
              <c:strCache>
                <c:ptCount val="1"/>
                <c:pt idx="0">
                  <c:v>城镇居民现住房人均建筑面积 平方米</c:v>
                </c:pt>
              </c:strCache>
            </c:strRef>
          </c:tx>
          <c:spPr>
            <a:ln w="19050" cap="rnd">
              <a:noFill/>
              <a:round/>
            </a:ln>
            <a:effectLst/>
          </c:spPr>
          <c:marker>
            <c:symbol val="circle"/>
            <c:size val="5"/>
            <c:spPr>
              <a:solidFill>
                <a:schemeClr val="accent4">
                  <a:lumMod val="60000"/>
                </a:schemeClr>
              </a:solidFill>
              <a:ln w="9525">
                <a:solidFill>
                  <a:schemeClr val="accent4">
                    <a:lumMod val="60000"/>
                  </a:schemeClr>
                </a:solidFill>
              </a:ln>
              <a:effectLst/>
            </c:spPr>
          </c:marker>
          <c:dLbls>
            <c:delete val="1"/>
          </c:dLbls>
          <c:xVal>
            <c:numRef>
              <c:f>历年人口建面数据!$C$1:$V$1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历年人口建面数据!$C$9:$V$9</c:f>
              <c:numCache>
                <c:formatCode>General</c:formatCode>
                <c:ptCount val="20"/>
                <c:pt idx="0">
                  <c:v>14.4</c:v>
                </c:pt>
                <c:pt idx="5">
                  <c:v>17.73</c:v>
                </c:pt>
                <c:pt idx="10">
                  <c:v>30.16</c:v>
                </c:pt>
                <c:pt idx="11">
                  <c:v>30.29</c:v>
                </c:pt>
                <c:pt idx="12">
                  <c:v>30.5</c:v>
                </c:pt>
                <c:pt idx="13">
                  <c:v>31.22</c:v>
                </c:pt>
                <c:pt idx="14">
                  <c:v>31.7</c:v>
                </c:pt>
                <c:pt idx="15">
                  <c:v>31.9</c:v>
                </c:pt>
                <c:pt idx="16">
                  <c:v>32.1</c:v>
                </c:pt>
                <c:pt idx="17">
                  <c:v>32.2</c:v>
                </c:pt>
                <c:pt idx="18">
                  <c:v>32.5</c:v>
                </c:pt>
                <c:pt idx="19">
                  <c:v>32.6</c:v>
                </c:pt>
              </c:numCache>
            </c:numRef>
          </c:yVal>
          <c:smooth val="0"/>
        </c:ser>
        <c:ser>
          <c:idx val="10"/>
          <c:order val="10"/>
          <c:tx>
            <c:strRef>
              <c:f>历年人口建面数据!$A$10:$B$10</c:f>
              <c:strCache>
                <c:ptCount val="1"/>
                <c:pt idx="0">
                  <c:v>农村居民现住房人均建筑面积 平方米</c:v>
                </c:pt>
              </c:strCache>
            </c:strRef>
          </c:tx>
          <c:spPr>
            <a:ln w="19050" cap="rnd">
              <a:noFill/>
              <a:round/>
            </a:ln>
            <a:effectLst/>
          </c:spPr>
          <c:marker>
            <c:symbol val="circle"/>
            <c:size val="5"/>
            <c:spPr>
              <a:solidFill>
                <a:schemeClr val="accent5">
                  <a:lumMod val="60000"/>
                </a:schemeClr>
              </a:solidFill>
              <a:ln w="9525">
                <a:solidFill>
                  <a:schemeClr val="accent5">
                    <a:lumMod val="60000"/>
                  </a:schemeClr>
                </a:solidFill>
              </a:ln>
              <a:effectLst/>
            </c:spPr>
          </c:marker>
          <c:dLbls>
            <c:delete val="1"/>
          </c:dLbls>
          <c:xVal>
            <c:numRef>
              <c:f>历年人口建面数据!$C$1:$V$1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历年人口建面数据!$C$10:$V$10</c:f>
              <c:numCache>
                <c:formatCode>General</c:formatCode>
                <c:ptCount val="20"/>
                <c:pt idx="0">
                  <c:v>21.82</c:v>
                </c:pt>
                <c:pt idx="5">
                  <c:v>25.12</c:v>
                </c:pt>
                <c:pt idx="10">
                  <c:v>26.51</c:v>
                </c:pt>
                <c:pt idx="11">
                  <c:v>27.29</c:v>
                </c:pt>
                <c:pt idx="12">
                  <c:v>30.24</c:v>
                </c:pt>
                <c:pt idx="13">
                  <c:v>32.1</c:v>
                </c:pt>
                <c:pt idx="14">
                  <c:v>32.5</c:v>
                </c:pt>
                <c:pt idx="15">
                  <c:v>33.6</c:v>
                </c:pt>
                <c:pt idx="16">
                  <c:v>33.8</c:v>
                </c:pt>
                <c:pt idx="17">
                  <c:v>35.3</c:v>
                </c:pt>
                <c:pt idx="18">
                  <c:v>37.8</c:v>
                </c:pt>
                <c:pt idx="19">
                  <c:v>38.8</c:v>
                </c:pt>
              </c:numCache>
            </c:numRef>
          </c:yVal>
          <c:smooth val="0"/>
        </c:ser>
        <c:dLbls>
          <c:showLegendKey val="0"/>
          <c:showVal val="0"/>
          <c:showCatName val="0"/>
          <c:showSerName val="0"/>
          <c:showPercent val="0"/>
          <c:showBubbleSize val="0"/>
        </c:dLbls>
        <c:axId val="1995558288"/>
        <c:axId val="1767340784"/>
        <c:extLst>
          <c:ext xmlns:c15="http://schemas.microsoft.com/office/drawing/2012/chart" uri="{02D57815-91ED-43cb-92C2-25804820EDAC}">
            <c15:filteredScatterSeries>
              <c15:ser>
                <c:idx val="0"/>
                <c:order val="0"/>
                <c:tx>
                  <c:strRef>
                    <c:extLst>
                      <c:ext uri="{02D57815-91ED-43cb-92C2-25804820EDAC}">
                        <c15:formulaRef>
                          <c15:sqref>历年人口建面数据!$A$2:$B$2</c15:sqref>
                        </c15:formulaRef>
                      </c:ext>
                    </c:extLst>
                    <c:strCache>
                      <c:ptCount val="1"/>
                      <c:pt idx="0">
                        <c:v>年末常住人口 万人</c:v>
                      </c:pt>
                    </c:strCache>
                  </c:strRef>
                </c:tx>
                <c:spPr>
                  <a:ln w="2540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1"/>
                      </a:solidFill>
                      <a:prstDash val="sysDot"/>
                    </a:ln>
                    <a:effectLst/>
                  </c:spPr>
                  <c:trendlineType val="poly"/>
                  <c:order val="2"/>
                  <c:dispRSqr val="0"/>
                  <c:dispEq val="0"/>
                </c:trendline>
                <c:xVal>
                  <c:numRef>
                    <c:f>{2000,2001,2002,2003,2004,2005,2006,2007,2008,2009,2010,2011,2012,2013,2014,2015,2016,2017,2018,2019}</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{720.4,#N/A,#N/A,#N/A,#N/A,744,#N/A,#N/A,#N/A,#N/A,810.6,818,822.8,825.7,828.7,829.1,829.2,829.4,831.6,832.2}</c:f>
                    <c:numCache>
                      <c:formatCode>General</c:formatCode>
                      <c:ptCount val="20"/>
                      <c:pt idx="0">
                        <c:v>720.4</c:v>
                      </c:pt>
                      <c:pt idx="5">
                        <c:v>744</c:v>
                      </c:pt>
                      <c:pt idx="10">
                        <c:v>810.6</c:v>
                      </c:pt>
                      <c:pt idx="11">
                        <c:v>818</c:v>
                      </c:pt>
                      <c:pt idx="12">
                        <c:v>822.8</c:v>
                      </c:pt>
                      <c:pt idx="13">
                        <c:v>825.7</c:v>
                      </c:pt>
                      <c:pt idx="14">
                        <c:v>828.7</c:v>
                      </c:pt>
                      <c:pt idx="15">
                        <c:v>829.1</c:v>
                      </c:pt>
                      <c:pt idx="16">
                        <c:v>829.2</c:v>
                      </c:pt>
                      <c:pt idx="17">
                        <c:v>829.4</c:v>
                      </c:pt>
                      <c:pt idx="18">
                        <c:v>831.6</c:v>
                      </c:pt>
                      <c:pt idx="19">
                        <c:v>832.2</c:v>
                      </c:pt>
                    </c:numCache>
                  </c:numRef>
                </c:yVal>
                <c:smooth val="0"/>
              </c15:ser>
            </c15:filteredScatterSeries>
            <c15:filteredScatterSeries>
              <c15:ser>
                <c:idx val="1"/>
                <c:order val="1"/>
                <c:tx>
                  <c:strRef>
                    <c:extLst>
                      <c:ext uri="{02D57815-91ED-43cb-92C2-25804820EDAC}">
                        <c15:formulaRef>
                          <c15:sqref>历年人口建面数据!$A$3:$B$3</c15:sqref>
                        </c15:formulaRef>
                      </c:ext>
                    </c:extLst>
                    <c:strCache>
                      <c:ptCount val="1"/>
                      <c:pt idx="0">
                        <c:v>年末户籍人口 万人</c:v>
                      </c:pt>
                    </c:strCache>
                  </c:strRef>
                </c:tx>
                <c:spPr>
                  <a:ln w="25400" cap="rnd">
                    <a:noFill/>
                    <a:round/>
                  </a:ln>
                  <a:effectLst/>
                </c:spPr>
                <c:marker>
                  <c:symbol val="circle"/>
                  <c:size val="5"/>
                  <c:spPr>
                    <a:solidFill>
                      <a:schemeClr val="accent2"/>
                    </a:solidFill>
                    <a:ln w="9525">
                      <a:solidFill>
                        <a:schemeClr val="accent2"/>
                      </a:solidFill>
                    </a:ln>
                    <a:effectLst/>
                  </c:spPr>
                </c:marker>
                <c:dLbls>
                  <c:delete val="1"/>
                </c:dLbls>
                <c:trendline>
                  <c:spPr>
                    <a:ln w="19050" cap="rnd">
                      <a:solidFill>
                        <a:schemeClr val="accent2"/>
                      </a:solidFill>
                      <a:prstDash val="sysDot"/>
                    </a:ln>
                    <a:effectLst/>
                  </c:spPr>
                  <c:trendlineType val="poly"/>
                  <c:order val="2"/>
                  <c:dispRSqr val="0"/>
                  <c:dispEq val="0"/>
                </c:trendline>
                <c:xVal>
                  <c:numRef>
                    <c:f>{2000,2001,2002,2003,2004,2005,2006,2007,2008,2009,2010,2011,2012,2013,2014,2015,2016,2017,2018,2019}</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{685.1,#N/A,#N/A,#N/A,#N/A,698.6,#N/A,#N/A,#N/A,#N/A,719.6,722.7,724.8,727.1,730.8,730.4,734.4,737,746,756.4}</c:f>
                    <c:numCache>
                      <c:formatCode>General</c:formatCode>
                      <c:ptCount val="20"/>
                      <c:pt idx="0">
                        <c:v>685.1</c:v>
                      </c:pt>
                      <c:pt idx="5">
                        <c:v>698.6</c:v>
                      </c:pt>
                      <c:pt idx="10">
                        <c:v>719.6</c:v>
                      </c:pt>
                      <c:pt idx="11">
                        <c:v>722.7</c:v>
                      </c:pt>
                      <c:pt idx="12">
                        <c:v>724.8</c:v>
                      </c:pt>
                      <c:pt idx="13">
                        <c:v>727.1</c:v>
                      </c:pt>
                      <c:pt idx="14">
                        <c:v>730.8</c:v>
                      </c:pt>
                      <c:pt idx="15">
                        <c:v>730.4</c:v>
                      </c:pt>
                      <c:pt idx="16">
                        <c:v>734.4</c:v>
                      </c:pt>
                      <c:pt idx="17">
                        <c:v>737</c:v>
                      </c:pt>
                      <c:pt idx="18">
                        <c:v>746</c:v>
                      </c:pt>
                      <c:pt idx="19">
                        <c:v>756.4</c:v>
                      </c:pt>
                    </c:numCache>
                  </c:numRef>
                </c:yVal>
                <c:smooth val="0"/>
              </c15:ser>
            </c15:filteredScatterSeries>
            <c15:filteredScatterSeries>
              <c15:ser>
                <c:idx val="2"/>
                <c:order val="2"/>
                <c:tx>
                  <c:strRef>
                    <c:extLst>
                      <c:ext uri="{02D57815-91ED-43cb-92C2-25804820EDAC}">
                        <c15:formulaRef>
                          <c15:sqref>历年人口建面数据!$A$4:$B$4</c15:sqref>
                        </c15:formulaRef>
                      </c:ext>
                    </c:extLst>
                    <c:strCache>
                      <c:ptCount val="1"/>
                      <c:pt idx="0">
                        <c:v>项     目 单 位</c:v>
                      </c:pt>
                    </c:strCache>
                  </c:strRef>
                </c:tx>
                <c:spPr>
                  <a:ln w="25400" cap="rnd">
                    <a:noFill/>
                    <a:round/>
                  </a:ln>
                  <a:effectLst/>
                </c:spPr>
                <c:marker>
                  <c:symbol val="circle"/>
                  <c:size val="5"/>
                  <c:spPr>
                    <a:solidFill>
                      <a:schemeClr val="accent3"/>
                    </a:solidFill>
                    <a:ln w="9525">
                      <a:solidFill>
                        <a:schemeClr val="accent3"/>
                      </a:solidFill>
                    </a:ln>
                    <a:effectLst/>
                  </c:spPr>
                </c:marker>
                <c:dLbls>
                  <c:delete val="1"/>
                </c:dLbls>
                <c:xVal>
                  <c:numRef>
                    <c:f>{2000,2001,2002,2003,2004,2005,2006,2007,2008,2009,2010,2011,2012,2013,2014,2015,2016,2017,2018,2019}</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{2000,#N/A,#N/A,#N/A,#N/A,2005,#N/A,#N/A,#N/A,#N/A,2010,2011,2012,2013,2014,2015,2016,2017,2018,2019}</c:f>
                    <c:numCache>
                      <c:formatCode>General</c:formatCode>
                      <c:ptCount val="20"/>
                      <c:pt idx="0">
                        <c:v>2000</c:v>
                      </c:pt>
                      <c:pt idx="5">
                        <c:v>2005</c:v>
                      </c:pt>
                      <c:pt idx="10">
                        <c:v>2010</c:v>
                      </c:pt>
                      <c:pt idx="11">
                        <c:v>2011</c:v>
                      </c:pt>
                      <c:pt idx="12">
                        <c:v>2012</c:v>
                      </c:pt>
                      <c:pt idx="13">
                        <c:v>2013</c:v>
                      </c:pt>
                      <c:pt idx="14">
                        <c:v>2014</c:v>
                      </c:pt>
                      <c:pt idx="15">
                        <c:v>2015</c:v>
                      </c:pt>
                      <c:pt idx="16">
                        <c:v>2016</c:v>
                      </c:pt>
                      <c:pt idx="17">
                        <c:v>2017</c:v>
                      </c:pt>
                      <c:pt idx="18">
                        <c:v>2018</c:v>
                      </c:pt>
                      <c:pt idx="19">
                        <c:v>2019</c:v>
                      </c:pt>
                    </c:numCache>
                  </c:numRef>
                </c:yVal>
                <c:smooth val="0"/>
              </c15:ser>
            </c15:filteredScatterSeries>
            <c15:filteredScatterSeries>
              <c15:ser>
                <c:idx val="3"/>
                <c:order val="3"/>
                <c:tx>
                  <c:strRef>
                    <c:extLst>
                      <c:ext uri="{02D57815-91ED-43cb-92C2-25804820EDAC}">
                        <c15:formulaRef>
                          <c15:sqref>历年人口建面数据!$A$5:$B$5</c15:sqref>
                        </c15:formulaRef>
                      </c:ext>
                    </c:extLst>
                    <c:strCache>
                      <c:ptCount val="1"/>
                      <c:pt idx="0">
                        <c:v>常住人口 万人</c:v>
                      </c:pt>
                    </c:strCache>
                  </c:strRef>
                </c:tx>
                <c:spPr>
                  <a:ln w="25400" cap="rnd">
                    <a:noFill/>
                    <a:round/>
                  </a:ln>
                  <a:effectLst/>
                </c:spPr>
                <c:marker>
                  <c:symbol val="circle"/>
                  <c:size val="5"/>
                  <c:spPr>
                    <a:solidFill>
                      <a:schemeClr val="accent4"/>
                    </a:solidFill>
                    <a:ln w="9525">
                      <a:solidFill>
                        <a:schemeClr val="accent4"/>
                      </a:solidFill>
                    </a:ln>
                    <a:effectLst/>
                  </c:spPr>
                </c:marker>
                <c:dLbls>
                  <c:delete val="1"/>
                </c:dLbls>
                <c:xVal>
                  <c:numRef>
                    <c:f>{2000,2001,2002,2003,2004,2005,2006,2007,2008,2009,2010,2011,2012,2013,2014,2015,2016,2017,2018,2019}</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{720.4,#N/A,#N/A,#N/A,#N/A,744,#N/A,#N/A,#N/A,#N/A,810.6,818,822.8,825.7,828.7,829.1,829.2,829.4,831.6,832.2}</c:f>
                    <c:numCache>
                      <c:formatCode>General</c:formatCode>
                      <c:ptCount val="20"/>
                      <c:pt idx="0">
                        <c:v>720.4</c:v>
                      </c:pt>
                      <c:pt idx="5">
                        <c:v>744</c:v>
                      </c:pt>
                      <c:pt idx="10">
                        <c:v>810.6</c:v>
                      </c:pt>
                      <c:pt idx="11">
                        <c:v>818</c:v>
                      </c:pt>
                      <c:pt idx="12">
                        <c:v>822.8</c:v>
                      </c:pt>
                      <c:pt idx="13">
                        <c:v>825.7</c:v>
                      </c:pt>
                      <c:pt idx="14">
                        <c:v>828.7</c:v>
                      </c:pt>
                      <c:pt idx="15">
                        <c:v>829.1</c:v>
                      </c:pt>
                      <c:pt idx="16">
                        <c:v>829.2</c:v>
                      </c:pt>
                      <c:pt idx="17">
                        <c:v>829.4</c:v>
                      </c:pt>
                      <c:pt idx="18">
                        <c:v>831.6</c:v>
                      </c:pt>
                      <c:pt idx="19">
                        <c:v>832.2</c:v>
                      </c:pt>
                    </c:numCache>
                  </c:numRef>
                </c:yVal>
                <c:smooth val="0"/>
              </c15:ser>
            </c15:filteredScatterSeries>
            <c15:filteredScatterSeries>
              <c15:ser>
                <c:idx val="4"/>
                <c:order val="4"/>
                <c:tx>
                  <c:strRef>
                    <c:extLst>
                      <c:ext uri="{02D57815-91ED-43cb-92C2-25804820EDAC}">
                        <c15:formulaRef>
                          <c15:sqref>历年人口建面数据!$A$6:$B$6</c15:sqref>
                        </c15:formulaRef>
                      </c:ext>
                    </c:extLst>
                    <c:strCache>
                      <c:ptCount val="1"/>
                      <c:pt idx="0">
                        <c:v>  城镇人口 万人</c:v>
                      </c:pt>
                    </c:strCache>
                  </c:strRef>
                </c:tx>
                <c:spPr>
                  <a:ln w="25400" cap="rnd">
                    <a:noFill/>
                    <a:round/>
                  </a:ln>
                  <a:effectLst/>
                </c:spPr>
                <c:marker>
                  <c:symbol val="circle"/>
                  <c:size val="5"/>
                  <c:spPr>
                    <a:solidFill>
                      <a:schemeClr val="accent5"/>
                    </a:solidFill>
                    <a:ln w="9525">
                      <a:solidFill>
                        <a:schemeClr val="accent5"/>
                      </a:solidFill>
                    </a:ln>
                    <a:effectLst/>
                  </c:spPr>
                </c:marker>
                <c:dLbls>
                  <c:delete val="1"/>
                </c:dLbls>
                <c:xVal>
                  <c:numRef>
                    <c:f>{2000,2001,2002,2003,2004,2005,2006,2007,2008,2009,2010,2011,2012,2013,2014,2015,2016,2017,2018,2019}</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{506.6,#N/A,#N/A,#N/A,#N/A,556.6,#N/A,#N/A,#N/A,#N/A,624.8,643.2,656.8,662.3,666.3,667.8,667.9,668.2,673.6,674.1}</c:f>
                    <c:numCache>
                      <c:formatCode>General</c:formatCode>
                      <c:ptCount val="20"/>
                      <c:pt idx="0">
                        <c:v>506.6</c:v>
                      </c:pt>
                      <c:pt idx="5">
                        <c:v>556.6</c:v>
                      </c:pt>
                      <c:pt idx="10">
                        <c:v>624.8</c:v>
                      </c:pt>
                      <c:pt idx="11">
                        <c:v>643.2</c:v>
                      </c:pt>
                      <c:pt idx="12">
                        <c:v>656.8</c:v>
                      </c:pt>
                      <c:pt idx="13">
                        <c:v>662.3</c:v>
                      </c:pt>
                      <c:pt idx="14">
                        <c:v>666.3</c:v>
                      </c:pt>
                      <c:pt idx="15">
                        <c:v>667.8</c:v>
                      </c:pt>
                      <c:pt idx="16">
                        <c:v>667.9</c:v>
                      </c:pt>
                      <c:pt idx="17">
                        <c:v>668.2</c:v>
                      </c:pt>
                      <c:pt idx="18">
                        <c:v>673.6</c:v>
                      </c:pt>
                      <c:pt idx="19">
                        <c:v>674.1</c:v>
                      </c:pt>
                    </c:numCache>
                  </c:numRef>
                </c:yVal>
                <c:smooth val="0"/>
              </c15:ser>
            </c15:filteredScatterSeries>
            <c15:filteredScatterSeries>
              <c15:ser>
                <c:idx val="5"/>
                <c:order val="5"/>
                <c:tx>
                  <c:strRef>
                    <c:extLst>
                      <c:ext uri="{02D57815-91ED-43cb-92C2-25804820EDAC}">
                        <c15:formulaRef>
                          <c15:sqref>历年人口建面数据!$A$7:$B$7</c15:sqref>
                        </c15:formulaRef>
                      </c:ext>
                    </c:extLst>
                    <c:strCache>
                      <c:ptCount val="1"/>
                      <c:pt idx="0">
                        <c:v>  乡村人口 万人</c:v>
                      </c:pt>
                    </c:strCache>
                  </c:strRef>
                </c:tx>
                <c:spPr>
                  <a:ln w="25400" cap="rnd">
                    <a:noFill/>
                    <a:round/>
                  </a:ln>
                  <a:effectLst/>
                </c:spPr>
                <c:marker>
                  <c:symbol val="circle"/>
                  <c:size val="5"/>
                  <c:spPr>
                    <a:solidFill>
                      <a:schemeClr val="accent6"/>
                    </a:solidFill>
                    <a:ln w="9525">
                      <a:solidFill>
                        <a:schemeClr val="accent6"/>
                      </a:solidFill>
                    </a:ln>
                    <a:effectLst/>
                  </c:spPr>
                </c:marker>
                <c:dLbls>
                  <c:delete val="1"/>
                </c:dLbls>
                <c:xVal>
                  <c:numRef>
                    <c:f>{2000,2001,2002,2003,2004,2005,2006,2007,2008,2009,2010,2011,2012,2013,2014,2015,2016,2017,2018,2019}</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{213.8,#N/A,#N/A,#N/A,#N/A,187.4,#N/A,#N/A,#N/A,#N/A,185.8,174.8,166,163.4,162.4,161.3,161.3,161.2,158,158.1}</c:f>
                    <c:numCache>
                      <c:formatCode>General</c:formatCode>
                      <c:ptCount val="20"/>
                      <c:pt idx="0">
                        <c:v>213.8</c:v>
                      </c:pt>
                      <c:pt idx="5">
                        <c:v>187.4</c:v>
                      </c:pt>
                      <c:pt idx="10">
                        <c:v>185.8</c:v>
                      </c:pt>
                      <c:pt idx="11">
                        <c:v>174.8</c:v>
                      </c:pt>
                      <c:pt idx="12">
                        <c:v>166</c:v>
                      </c:pt>
                      <c:pt idx="13">
                        <c:v>163.4</c:v>
                      </c:pt>
                      <c:pt idx="14">
                        <c:v>162.4</c:v>
                      </c:pt>
                      <c:pt idx="15">
                        <c:v>161.3</c:v>
                      </c:pt>
                      <c:pt idx="16">
                        <c:v>161.3</c:v>
                      </c:pt>
                      <c:pt idx="17">
                        <c:v>161.2</c:v>
                      </c:pt>
                      <c:pt idx="18">
                        <c:v>158</c:v>
                      </c:pt>
                      <c:pt idx="19">
                        <c:v>158.1</c:v>
                      </c:pt>
                    </c:numCache>
                  </c:numRef>
                </c:yVal>
                <c:smooth val="0"/>
              </c15:ser>
            </c15:filteredScatterSeries>
            <c15:filteredScatterSeries>
              <c15:ser>
                <c:idx val="6"/>
                <c:order val="6"/>
                <c:tx>
                  <c:strRef>
                    <c:extLst>
                      <c:ext uri="{02D57815-91ED-43cb-92C2-25804820EDAC}">
                        <c15:formulaRef>
                          <c15:sqref>历年人口建面数据!$A$8:$B$8</c15:sqref>
                        </c15:formulaRef>
                      </c:ext>
                    </c:extLst>
                    <c:strCache>
                      <c:ptCount val="1"/>
                      <c:pt idx="0">
                        <c:v>总户数 户</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dLbls>
                  <c:delete val="1"/>
                </c:dLbls>
                <c:xVal>
                  <c:numRef>
                    <c:f>{2000,2001,2002,2003,2004,2005,2006,2007,2008,2009,2010,2011,2012,2013,2014,2015,2016,2017,2018,2019}</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{2181144,#N/A,#N/A,#N/A,#N/A,2319795,#N/A,#N/A,#N/A,#N/A,2512831,2550684,2575661,2601818,2629692,2651628,2683863,2721516,2794239,2858695}</c:f>
                    <c:numCache>
                      <c:formatCode>General</c:formatCode>
                      <c:ptCount val="20"/>
                      <c:pt idx="0">
                        <c:v>2181144</c:v>
                      </c:pt>
                      <c:pt idx="5">
                        <c:v>2319795</c:v>
                      </c:pt>
                      <c:pt idx="10">
                        <c:v>2512831</c:v>
                      </c:pt>
                      <c:pt idx="11">
                        <c:v>2550684</c:v>
                      </c:pt>
                      <c:pt idx="12">
                        <c:v>2575661</c:v>
                      </c:pt>
                      <c:pt idx="13">
                        <c:v>2601818</c:v>
                      </c:pt>
                      <c:pt idx="14">
                        <c:v>2629692</c:v>
                      </c:pt>
                      <c:pt idx="15">
                        <c:v>2651628</c:v>
                      </c:pt>
                      <c:pt idx="16">
                        <c:v>2683863</c:v>
                      </c:pt>
                      <c:pt idx="17">
                        <c:v>2721516</c:v>
                      </c:pt>
                      <c:pt idx="18">
                        <c:v>2794239</c:v>
                      </c:pt>
                      <c:pt idx="19">
                        <c:v>2858695</c:v>
                      </c:pt>
                    </c:numCache>
                  </c:numRef>
                </c:yVal>
                <c:smooth val="0"/>
              </c15:ser>
            </c15:filteredScatterSeries>
          </c:ext>
        </c:extLst>
      </c:scatterChart>
      <c:valAx>
        <c:axId val="1995558288"/>
        <c:scaling>
          <c:orientation val="minMax"/>
          <c:min val="20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7340784"/>
        <c:crosses val="autoZero"/>
        <c:crossBetween val="midCat"/>
      </c:valAx>
      <c:valAx>
        <c:axId val="1767340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5558288"/>
        <c:crosses val="autoZero"/>
        <c:crossBetween val="midCat"/>
      </c:valAx>
      <c:spPr>
        <a:noFill/>
        <a:ln>
          <a:noFill/>
        </a:ln>
        <a:effectLst/>
      </c:spPr>
    </c:plotArea>
    <c:legend>
      <c:legendPos val="b"/>
      <c:legendEntry>
        <c:idx val="0"/>
        <c:delete val="1"/>
      </c:legendEntry>
      <c:legendEntry>
        <c:idx val="1"/>
        <c:delete val="1"/>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29f550a-b8d4-4384-9acf-91955a8786b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蓝绿">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71482-E49B-4275-949D-5D45F06301DD}">
  <ds:schemaRefs/>
</ds:datastoreItem>
</file>

<file path=docProps/app.xml><?xml version="1.0" encoding="utf-8"?>
<Properties xmlns="http://schemas.openxmlformats.org/officeDocument/2006/extended-properties" xmlns:vt="http://schemas.openxmlformats.org/officeDocument/2006/docPropsVTypes">
  <Template>Normal</Template>
  <Pages>126</Pages>
  <Words>14375</Words>
  <Characters>15166</Characters>
  <Lines>616</Lines>
  <Paragraphs>173</Paragraphs>
  <TotalTime>79</TotalTime>
  <ScaleCrop>false</ScaleCrop>
  <LinksUpToDate>false</LinksUpToDate>
  <CharactersWithSpaces>15353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2021-12-24T09:12:00Z</dcterms:created>
  <dc:creator>wang huan</dc:creator>
  <cp:lastModifiedBy> annie</cp:lastModifiedBy>
  <cp:lastPrinted>2020-10-23T03:09:00Z</cp:lastPrinted>
  <dcterms:modified xsi:type="dcterms:W3CDTF">2026-01-19T15:33:03Z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C52D9438E59F499FA88A04FF8C2DFA44</vt:lpwstr>
  </property>
  <property fmtid="{D5CDD505-2E9C-101B-9397-08002B2CF9AE}" pid="4" name="KSOTemplateDocerSaveRecord">
    <vt:lpwstr>eyJoZGlkIjoiYTdkYmY1OGE2YWY5N2ZiNzEyN2QxZjY0YzE0ZjYyNTMiLCJ1c2VySWQiOiI2Nzg1MTcxNjEifQ==</vt:lpwstr>
  </property>
</Properties>
</file>